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70A0ABC" wp14:paraId="4AD3CB03" wp14:textId="64C380FF">
      <w:pPr>
        <w:pStyle w:val="Normal"/>
        <w:spacing w:before="0" w:beforeAutospacing="off" w:after="0" w:afterAutospacing="off"/>
        <w:ind w:left="2677" w:right="0"/>
      </w:pPr>
      <w:r w:rsidR="0B369D99">
        <w:drawing>
          <wp:inline xmlns:wp14="http://schemas.microsoft.com/office/word/2010/wordprocessingDrawing" wp14:editId="170A0ABC" wp14:anchorId="2BC93DB7">
            <wp:extent cx="1857375" cy="1028700"/>
            <wp:effectExtent l="0" t="0" r="0" b="0"/>
            <wp:docPr id="7536954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3de33ac5dd243f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70A0ABC" wp14:paraId="24EF8D12" wp14:textId="6B8F63E3">
      <w:pPr>
        <w:spacing w:before="0" w:beforeAutospacing="off" w:after="0" w:afterAutospacing="off"/>
        <w:jc w:val="center"/>
      </w:pPr>
      <w:r w:rsidRPr="170A0ABC" w:rsidR="0B369D9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Report of the Deputy President/Vice President for Academic Affairs</w:t>
      </w:r>
      <w:r w:rsidRPr="170A0ABC" w:rsidR="0B369D9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170A0ABC" wp14:paraId="126E0FD1" wp14:textId="6E3AB143">
      <w:pPr>
        <w:spacing w:before="0" w:beforeAutospacing="off" w:after="0" w:afterAutospacing="off"/>
        <w:ind w:left="720" w:right="0"/>
      </w:pPr>
      <w:r w:rsidRPr="170A0ABC" w:rsidR="0B369D99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GB"/>
        </w:rPr>
        <w:t>Tuairisc an Uachtarán</w:t>
      </w:r>
      <w:r w:rsidRPr="170A0ABC" w:rsidR="0B369D9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GB"/>
        </w:rPr>
        <w:t xml:space="preserve"> Tánaisteach/Leas Uachtarán um Ghnóthaí Acadúla</w:t>
      </w:r>
      <w:r w:rsidRPr="170A0ABC" w:rsidR="0B369D99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70A0ABC" w:rsidR="0B369D9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170A0ABC" wp14:paraId="0DE2851C" wp14:textId="52FC2A31">
      <w:pPr>
        <w:spacing w:before="0" w:beforeAutospacing="off" w:after="0" w:afterAutospacing="off"/>
        <w:jc w:val="center"/>
      </w:pPr>
      <w:r w:rsidRPr="170A0ABC" w:rsidR="0B369D9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 xml:space="preserve">Bryan </w:t>
      </w:r>
      <w:r w:rsidRPr="170A0ABC" w:rsidR="0B369D99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O’Mahony</w:t>
      </w:r>
      <w:r w:rsidRPr="170A0ABC" w:rsidR="0B369D9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170A0ABC" wp14:paraId="3B62A74D" wp14:textId="3595DD9D">
      <w:pPr>
        <w:spacing w:before="0" w:beforeAutospacing="off" w:after="0" w:afterAutospacing="off"/>
      </w:pPr>
      <w:r w:rsidRPr="170A0ABC" w:rsidR="0B369D9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</w:t>
      </w:r>
    </w:p>
    <w:p xmlns:wp14="http://schemas.microsoft.com/office/word/2010/wordml" w:rsidP="170A0ABC" wp14:paraId="14D27CEA" wp14:textId="012F9974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Arial" w:hAnsi="Arial" w:eastAsia="Arial" w:cs="Arial"/>
          <w:noProof w:val="0"/>
          <w:sz w:val="28"/>
          <w:szCs w:val="28"/>
          <w:lang w:val="en-GB"/>
        </w:rPr>
      </w:pPr>
      <w:r w:rsidRPr="170A0ABC" w:rsidR="0B369D99">
        <w:rPr>
          <w:rFonts w:ascii="Arial" w:hAnsi="Arial" w:eastAsia="Arial" w:cs="Arial"/>
          <w:noProof w:val="0"/>
          <w:sz w:val="28"/>
          <w:szCs w:val="28"/>
          <w:lang w:val="en-GB"/>
        </w:rPr>
        <w:t>Uasdátaithe &amp; Buaicphointí | Updates &amp; Highlights</w:t>
      </w:r>
    </w:p>
    <w:p xmlns:wp14="http://schemas.microsoft.com/office/word/2010/wordml" w:rsidP="170A0ABC" wp14:paraId="28A159CC" wp14:textId="0D89157D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Arial" w:hAnsi="Arial" w:eastAsia="Arial" w:cs="Arial"/>
          <w:noProof w:val="0"/>
          <w:sz w:val="28"/>
          <w:szCs w:val="28"/>
          <w:lang w:val="en-GB"/>
        </w:rPr>
      </w:pPr>
      <w:r w:rsidRPr="170A0ABC" w:rsidR="0B369D99">
        <w:rPr>
          <w:rFonts w:ascii="Arial" w:hAnsi="Arial" w:eastAsia="Arial" w:cs="Arial"/>
          <w:noProof w:val="0"/>
          <w:sz w:val="28"/>
          <w:szCs w:val="28"/>
          <w:lang w:val="en-GB"/>
        </w:rPr>
        <w:t>Cruinnithe ar freastalaíodh orthu | Meetings Attended</w:t>
      </w:r>
    </w:p>
    <w:p xmlns:wp14="http://schemas.microsoft.com/office/word/2010/wordml" w:rsidP="170A0ABC" wp14:paraId="1BE3E331" wp14:textId="425C358C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Arial" w:hAnsi="Arial" w:eastAsia="Arial" w:cs="Arial"/>
          <w:noProof w:val="0"/>
          <w:sz w:val="28"/>
          <w:szCs w:val="28"/>
          <w:lang w:val="en-GB"/>
        </w:rPr>
      </w:pPr>
      <w:r w:rsidRPr="170A0ABC" w:rsidR="0B369D99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Dul chun cinn ar an Plean Oibre | Plan of Work Progress </w:t>
      </w:r>
    </w:p>
    <w:p xmlns:wp14="http://schemas.microsoft.com/office/word/2010/wordml" w:rsidP="170A0ABC" wp14:paraId="746E007B" wp14:textId="429066FA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Arial" w:hAnsi="Arial" w:eastAsia="Arial" w:cs="Arial"/>
          <w:noProof w:val="0"/>
          <w:sz w:val="28"/>
          <w:szCs w:val="28"/>
          <w:lang w:val="en-GB"/>
        </w:rPr>
      </w:pPr>
      <w:r w:rsidRPr="170A0ABC" w:rsidR="0B369D99">
        <w:rPr>
          <w:rFonts w:ascii="Arial" w:hAnsi="Arial" w:eastAsia="Arial" w:cs="Arial"/>
          <w:noProof w:val="0"/>
          <w:sz w:val="28"/>
          <w:szCs w:val="28"/>
          <w:lang w:val="en-GB"/>
        </w:rPr>
        <w:t>Dul chun cinn ar na Sainorduith | Mandate Progress</w:t>
      </w:r>
    </w:p>
    <w:p xmlns:wp14="http://schemas.microsoft.com/office/word/2010/wordml" w:rsidP="170A0ABC" wp14:paraId="296BEF6F" wp14:textId="0059CF64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Arial" w:hAnsi="Arial" w:eastAsia="Arial" w:cs="Arial"/>
          <w:noProof w:val="0"/>
          <w:sz w:val="28"/>
          <w:szCs w:val="28"/>
          <w:lang w:val="en-GB"/>
        </w:rPr>
      </w:pPr>
      <w:r w:rsidRPr="170A0ABC" w:rsidR="0B369D99">
        <w:rPr>
          <w:rFonts w:ascii="Arial" w:hAnsi="Arial" w:eastAsia="Arial" w:cs="Arial"/>
          <w:noProof w:val="0"/>
          <w:sz w:val="28"/>
          <w:szCs w:val="28"/>
          <w:lang w:val="en-GB"/>
        </w:rPr>
        <w:t>Speansais | Expenses</w:t>
      </w:r>
    </w:p>
    <w:p xmlns:wp14="http://schemas.microsoft.com/office/word/2010/wordml" w:rsidP="170A0ABC" wp14:paraId="6BC2B8C9" wp14:textId="23304ED3">
      <w:pPr>
        <w:spacing w:before="0" w:beforeAutospacing="off" w:after="0" w:afterAutospacing="off"/>
      </w:pPr>
      <w:r w:rsidRPr="170A0ABC" w:rsidR="0B369D99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 xml:space="preserve"> </w:t>
      </w:r>
    </w:p>
    <w:p xmlns:wp14="http://schemas.microsoft.com/office/word/2010/wordml" w:rsidP="170A0ABC" wp14:paraId="3E858400" wp14:textId="0BB87489">
      <w:pPr>
        <w:spacing w:before="0" w:beforeAutospacing="off" w:after="0" w:afterAutospacing="off"/>
      </w:pPr>
      <w:r w:rsidRPr="170A0ABC" w:rsidR="0B369D9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</w:t>
      </w:r>
    </w:p>
    <w:p xmlns:wp14="http://schemas.microsoft.com/office/word/2010/wordml" w:rsidP="170A0ABC" wp14:paraId="5127A108" wp14:textId="015D1EA0">
      <w:pPr>
        <w:pStyle w:val="ListParagraph"/>
        <w:numPr>
          <w:ilvl w:val="0"/>
          <w:numId w:val="6"/>
        </w:numPr>
        <w:spacing w:before="0" w:beforeAutospacing="off" w:after="0" w:afterAutospacing="off" w:line="276" w:lineRule="auto"/>
        <w:ind w:left="720" w:right="0" w:hanging="360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170A0ABC" w:rsidR="0B369D9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Update &amp; Highlights</w:t>
      </w:r>
    </w:p>
    <w:p xmlns:wp14="http://schemas.microsoft.com/office/word/2010/wordml" w:rsidP="170A0ABC" wp14:paraId="5B78D93A" wp14:textId="14C4BA00">
      <w:pPr>
        <w:pStyle w:val="ListParagraph"/>
        <w:numPr>
          <w:ilvl w:val="0"/>
          <w:numId w:val="28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170A0ABC" w:rsidR="0B369D9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Comhdh</w:t>
      </w:r>
      <w:r w:rsidRPr="170A0ABC" w:rsidR="008D1312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á</w:t>
      </w:r>
      <w:r w:rsidRPr="170A0ABC" w:rsidR="0B369D9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il</w:t>
      </w:r>
      <w:r w:rsidRPr="170A0ABC" w:rsidR="0B369D9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</w:t>
      </w:r>
    </w:p>
    <w:p xmlns:wp14="http://schemas.microsoft.com/office/word/2010/wordml" w:rsidP="170A0ABC" wp14:paraId="1F20083B" wp14:textId="1526DA59">
      <w:pPr>
        <w:pStyle w:val="ListParagraph"/>
        <w:numPr>
          <w:ilvl w:val="1"/>
          <w:numId w:val="28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170A0ABC" w:rsidR="6F6AF9E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Preparing motions and </w:t>
      </w:r>
      <w:r w:rsidRPr="170A0ABC" w:rsidR="6F6AF9E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assisting</w:t>
      </w:r>
      <w:r w:rsidRPr="170A0ABC" w:rsidR="6F6AF9E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</w:t>
      </w:r>
      <w:r w:rsidRPr="170A0ABC" w:rsidR="6F6AF9E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MO’s</w:t>
      </w:r>
      <w:r w:rsidRPr="170A0ABC" w:rsidR="6F6AF9E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with writing motions to be discussed at Comhdháil</w:t>
      </w:r>
    </w:p>
    <w:p xmlns:wp14="http://schemas.microsoft.com/office/word/2010/wordml" w:rsidP="170A0ABC" wp14:paraId="72EFDB6F" wp14:textId="023120DF">
      <w:pPr>
        <w:pStyle w:val="ListParagraph"/>
        <w:numPr>
          <w:ilvl w:val="0"/>
          <w:numId w:val="28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170A0ABC" w:rsidR="0B369D9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Trade Union Relationships</w:t>
      </w:r>
    </w:p>
    <w:p xmlns:wp14="http://schemas.microsoft.com/office/word/2010/wordml" w:rsidP="170A0ABC" wp14:paraId="66FB37A3" wp14:textId="6D964B16">
      <w:pPr>
        <w:pStyle w:val="ListParagraph"/>
        <w:numPr>
          <w:ilvl w:val="1"/>
          <w:numId w:val="28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170A0ABC" w:rsidR="72972888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The President and I have met with multiple Trade Unions to discuss avenues of collaboration for the year ahead to strengthen the student movement</w:t>
      </w:r>
    </w:p>
    <w:p xmlns:wp14="http://schemas.microsoft.com/office/word/2010/wordml" w:rsidP="170A0ABC" wp14:paraId="419DAC7F" wp14:textId="46077701">
      <w:pPr>
        <w:pStyle w:val="ListParagraph"/>
        <w:numPr>
          <w:ilvl w:val="1"/>
          <w:numId w:val="28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170A0ABC" w:rsidR="72972888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Through with meeting the Trade Unions we have pushed for the relaunch of “Education Futures” </w:t>
      </w:r>
      <w:r w:rsidRPr="170A0ABC" w:rsidR="16F516B7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coalition which </w:t>
      </w:r>
      <w:r w:rsidRPr="170A0ABC" w:rsidR="16F516B7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seeks</w:t>
      </w:r>
      <w:r w:rsidRPr="170A0ABC" w:rsidR="16F516B7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to close the funding gap in Education. This would be made up with USI, ISSU, SIPTU, IFUT, TUI</w:t>
      </w:r>
      <w:r w:rsidRPr="170A0ABC" w:rsidR="3ACED2C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and FORSA</w:t>
      </w:r>
    </w:p>
    <w:p xmlns:wp14="http://schemas.microsoft.com/office/word/2010/wordml" w:rsidP="170A0ABC" wp14:paraId="22B4ACF1" wp14:textId="386804D1">
      <w:pPr>
        <w:pStyle w:val="ListParagraph"/>
        <w:numPr>
          <w:ilvl w:val="0"/>
          <w:numId w:val="28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170A0ABC" w:rsidR="7887C5E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StudentSurvey</w:t>
      </w:r>
      <w:r w:rsidRPr="170A0ABC" w:rsidR="7887C5E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.ie</w:t>
      </w:r>
    </w:p>
    <w:p xmlns:wp14="http://schemas.microsoft.com/office/word/2010/wordml" w:rsidP="170A0ABC" wp14:paraId="1AC1D4A2" wp14:textId="54C9A1E8">
      <w:pPr>
        <w:pStyle w:val="ListParagraph"/>
        <w:numPr>
          <w:ilvl w:val="1"/>
          <w:numId w:val="28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170A0ABC" w:rsidR="0DD84AB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Redesign working group is still working on revamping the </w:t>
      </w:r>
      <w:r w:rsidRPr="170A0ABC" w:rsidR="536E6F7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survey with the student representatives of the group pushing forward the needs for it to be student centric and </w:t>
      </w:r>
      <w:r w:rsidRPr="170A0ABC" w:rsidR="536E6F7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holistic</w:t>
      </w:r>
      <w:r w:rsidRPr="170A0ABC" w:rsidR="536E6F7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</w:t>
      </w:r>
    </w:p>
    <w:p xmlns:wp14="http://schemas.microsoft.com/office/word/2010/wordml" w:rsidP="170A0ABC" wp14:paraId="1ADCE873" wp14:textId="5ECE7B71">
      <w:pPr>
        <w:pStyle w:val="ListParagraph"/>
        <w:numPr>
          <w:ilvl w:val="0"/>
          <w:numId w:val="28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170A0ABC" w:rsidR="7887C5E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NStEP</w:t>
      </w:r>
    </w:p>
    <w:p xmlns:wp14="http://schemas.microsoft.com/office/word/2010/wordml" w:rsidP="170A0ABC" wp14:paraId="520E593A" wp14:textId="49A8AB4B">
      <w:pPr>
        <w:pStyle w:val="ListParagraph"/>
        <w:numPr>
          <w:ilvl w:val="1"/>
          <w:numId w:val="28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170A0ABC" w:rsidR="564CC0A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We have </w:t>
      </w:r>
      <w:r w:rsidRPr="170A0ABC" w:rsidR="43BC8822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received</w:t>
      </w:r>
      <w:r w:rsidRPr="170A0ABC" w:rsidR="564CC0A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confirmation that USI will be keeping NStEP and the go ahead to looking into a new manager to being recruited </w:t>
      </w:r>
    </w:p>
    <w:p xmlns:wp14="http://schemas.microsoft.com/office/word/2010/wordml" w:rsidP="170A0ABC" wp14:paraId="7A89EF85" wp14:textId="3A499476">
      <w:pPr>
        <w:pStyle w:val="ListParagraph"/>
        <w:numPr>
          <w:ilvl w:val="0"/>
          <w:numId w:val="28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170A0ABC" w:rsidR="7887C5E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Apprentices and FET</w:t>
      </w:r>
    </w:p>
    <w:p xmlns:wp14="http://schemas.microsoft.com/office/word/2010/wordml" w:rsidP="170A0ABC" wp14:paraId="097863E5" wp14:textId="33EDDDEC">
      <w:pPr>
        <w:pStyle w:val="ListParagraph"/>
        <w:numPr>
          <w:ilvl w:val="1"/>
          <w:numId w:val="28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170A0ABC" w:rsidR="13CB25C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Continued</w:t>
      </w:r>
      <w:r w:rsidRPr="170A0ABC" w:rsidR="1AD40A1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meetings and work for the Apprenticeship Organisation. Working with NTO for </w:t>
      </w:r>
      <w:r w:rsidRPr="170A0ABC" w:rsidR="1AD40A1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FET’s</w:t>
      </w:r>
      <w:r w:rsidRPr="170A0ABC" w:rsidR="1AD40A1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to have more student representation</w:t>
      </w:r>
    </w:p>
    <w:p xmlns:wp14="http://schemas.microsoft.com/office/word/2010/wordml" w:rsidP="170A0ABC" wp14:paraId="23871450" wp14:textId="2EFF7EC4">
      <w:pPr>
        <w:pStyle w:val="ListParagraph"/>
        <w:numPr>
          <w:ilvl w:val="0"/>
          <w:numId w:val="28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170A0ABC" w:rsidR="23D5C3B8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Policy File</w:t>
      </w:r>
    </w:p>
    <w:p xmlns:wp14="http://schemas.microsoft.com/office/word/2010/wordml" w:rsidP="170A0ABC" wp14:paraId="45598E6F" wp14:textId="0371BBA1">
      <w:pPr>
        <w:pStyle w:val="ListParagraph"/>
        <w:numPr>
          <w:ilvl w:val="1"/>
          <w:numId w:val="28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170A0ABC" w:rsidR="3C05C99E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The president and I have updated the policy file following Comhdháil</w:t>
      </w:r>
    </w:p>
    <w:p xmlns:wp14="http://schemas.microsoft.com/office/word/2010/wordml" w:rsidP="170A0ABC" wp14:paraId="2F2246B9" wp14:textId="17735359">
      <w:pPr>
        <w:pStyle w:val="Normal"/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</w:p>
    <w:p xmlns:wp14="http://schemas.microsoft.com/office/word/2010/wordml" w:rsidP="170A0ABC" wp14:paraId="38A9E1E2" wp14:textId="60DCB58A">
      <w:pPr>
        <w:pStyle w:val="ListParagraph"/>
        <w:numPr>
          <w:ilvl w:val="0"/>
          <w:numId w:val="6"/>
        </w:numPr>
        <w:spacing w:before="0" w:beforeAutospacing="off" w:after="0" w:afterAutospacing="off"/>
        <w:ind w:left="720" w:right="0" w:hanging="360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  <w:r w:rsidRPr="170A0ABC" w:rsidR="0B369D9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Meetings/Events Attended</w:t>
      </w:r>
      <w:r w:rsidRPr="170A0ABC" w:rsidR="0B369D9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555"/>
        <w:gridCol w:w="4635"/>
      </w:tblGrid>
      <w:tr w:rsidR="170A0ABC" w:rsidTr="170A0ABC" w14:paraId="04AE2515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0FF41069" w14:textId="72A9D405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GB"/>
              </w:rPr>
              <w:t>Date</w:t>
            </w:r>
            <w:r w:rsidRPr="170A0ABC" w:rsidR="170A0ABC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3DCEF828" w14:textId="77F7BD27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GB"/>
              </w:rPr>
              <w:t>Meeting/Event</w:t>
            </w:r>
            <w:r w:rsidRPr="170A0ABC" w:rsidR="170A0ABC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0C2840C1" w14:textId="77157B8C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GB"/>
              </w:rPr>
              <w:t>Additional Comments</w:t>
            </w:r>
          </w:p>
        </w:tc>
      </w:tr>
      <w:tr w:rsidR="170A0ABC" w:rsidTr="170A0ABC" w14:paraId="55D21ECB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10514003" w14:textId="75E5B1D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19/02/24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6E6BE866" w14:textId="16D547D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MMM</w:t>
            </w:r>
            <w:r w:rsidRPr="170A0ABC" w:rsidR="53968B04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 (Monday Morning Meeting)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4D809887" w14:textId="7D58D71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170A0ABC" w:rsidTr="170A0ABC" w14:paraId="329CA1C8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607413E1" w14:textId="08F5C00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19/02/24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10D91E32" w14:textId="147AD82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Briefing Session on Draft Terms of Reference for the Independent Pandemic Evaluation 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9FD2168" w:rsidP="170A0ABC" w:rsidRDefault="59FD2168" w14:paraId="39910218" w14:textId="67C22C4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59FD2168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Met in the </w:t>
            </w: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Department of the Taoiseach</w:t>
            </w:r>
            <w:r w:rsidRPr="170A0ABC" w:rsidR="5BA5AE5F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 to discuss the terms of reference on setting up a committee for the Independent </w:t>
            </w:r>
            <w:r w:rsidRPr="170A0ABC" w:rsidR="5BA5AE5F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Pandemic</w:t>
            </w:r>
            <w:r w:rsidRPr="170A0ABC" w:rsidR="5BA5AE5F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 evaluation of the work down during lockdown</w:t>
            </w:r>
          </w:p>
        </w:tc>
      </w:tr>
      <w:tr w:rsidR="170A0ABC" w:rsidTr="170A0ABC" w14:paraId="10ED7EF0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152B2394" w14:textId="1FEEF0F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20/02/24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768826D6" w14:textId="6A49FE8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QQI Board Meeting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339B5522" w14:textId="75138E7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170A0ABC" w:rsidTr="170A0ABC" w14:paraId="30150425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26F903DC" w14:textId="658C0A5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20/02/24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6CA34455" w14:textId="52CB68A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Motion Collaboration with DCU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8A2069A" w:rsidP="170A0ABC" w:rsidRDefault="18A2069A" w14:paraId="18E83708" w14:textId="7341460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8A2069A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Worked with DCUSU on writing motions for </w:t>
            </w:r>
            <w:r w:rsidRPr="170A0ABC" w:rsidR="18A2069A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Comhdháil</w:t>
            </w:r>
          </w:p>
        </w:tc>
      </w:tr>
      <w:tr w:rsidR="170A0ABC" w:rsidTr="170A0ABC" w14:paraId="74E17CA8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2FBE19F2" w14:textId="518D8F1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20/02/24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215C4134" w14:textId="1933FFF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Motion Collaboration </w:t>
            </w:r>
            <w:r w:rsidRPr="170A0ABC" w:rsidR="043D73D9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CMLOG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43D73D9" w:rsidP="170A0ABC" w:rsidRDefault="043D73D9" w14:paraId="7478EBC5" w14:textId="0B9301B6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043D73D9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Worked with CMLOG on writing motions for </w:t>
            </w:r>
            <w:r w:rsidRPr="170A0ABC" w:rsidR="043D73D9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Comhdháil</w:t>
            </w:r>
          </w:p>
        </w:tc>
      </w:tr>
      <w:tr w:rsidR="170A0ABC" w:rsidTr="170A0ABC" w14:paraId="17DDF3A7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41E9555B" w14:textId="765890A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21-22/02/24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36DAAB15" w14:textId="7919395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ETBI FET Conference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6434A3AF" w14:textId="1A3F5D6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 w:rsidRPr="170A0ABC" w:rsidR="78C3E8F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Attended the conference to see the moving landscape in the FET sector and to network</w:t>
            </w:r>
          </w:p>
        </w:tc>
      </w:tr>
      <w:tr w:rsidR="170A0ABC" w:rsidTr="170A0ABC" w14:paraId="058CFACE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6D69CF53" w14:textId="76BADFF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22/02/24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EC9D840" w:rsidP="170A0ABC" w:rsidRDefault="7EC9D840" w14:paraId="28A99401" w14:textId="3D399FC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7EC9D840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Comhairle </w:t>
            </w:r>
            <w:r w:rsidRPr="170A0ABC" w:rsidR="7EC9D840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N</w:t>
            </w:r>
            <w:r w:rsidRPr="170A0ABC" w:rsidR="7EC9D840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áisiúnta</w:t>
            </w: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 Carlow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58A05E32" w14:textId="26D2ACF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170A0ABC" w:rsidTr="170A0ABC" w14:paraId="4F7DC2BA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651FCE4C" w14:textId="212DBCF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26/02/24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56159799" w14:textId="4AA3474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Presentation to </w:t>
            </w: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WonkHE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AB515B8" w:rsidP="170A0ABC" w:rsidRDefault="1AB515B8" w14:paraId="00A9779A" w14:textId="414DB25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AB515B8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Discussing with UK based Student </w:t>
            </w:r>
            <w:r w:rsidRPr="170A0ABC" w:rsidR="1AB515B8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Union’s</w:t>
            </w:r>
            <w:r w:rsidRPr="170A0ABC" w:rsidR="1AB515B8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 on the format of Irish SU’s and the format of USI</w:t>
            </w:r>
          </w:p>
        </w:tc>
      </w:tr>
      <w:tr w:rsidR="170A0ABC" w:rsidTr="170A0ABC" w14:paraId="326EC4F1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5DCC6275" w14:textId="7DC61EB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27/02/24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734C64D0" w14:textId="2265884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StudentSurvey.ie Review Working Group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21A02626" w14:textId="70BFD37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170A0ABC" w:rsidTr="170A0ABC" w14:paraId="13E328DE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644F5FAA" w14:textId="4B0C489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27/02/24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668573AF" w14:textId="003238F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ATUS SU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53E4395" w:rsidP="170A0ABC" w:rsidRDefault="753E4395" w14:paraId="70FCAB20" w14:textId="513BEDE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753E4395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Discussing </w:t>
            </w: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SUSI For ODL Students</w:t>
            </w:r>
          </w:p>
        </w:tc>
      </w:tr>
      <w:tr w:rsidR="170A0ABC" w:rsidTr="170A0ABC" w14:paraId="7F71EBBD">
        <w:trPr>
          <w:trHeight w:val="715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7E4E9A92" w14:textId="2321EF6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27/02/24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6BD40E8A" w14:textId="1E5CD94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Show Your Job project - ANAF / USI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D39D524" w:rsidP="170A0ABC" w:rsidRDefault="2D39D524" w14:paraId="2EDD4B67" w14:textId="621D8B9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2D39D524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Discussion to run an apprentice media campaign but we felt we </w:t>
            </w:r>
            <w:r w:rsidRPr="170A0ABC" w:rsidR="2D39D524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didn’t</w:t>
            </w:r>
            <w:r w:rsidRPr="170A0ABC" w:rsidR="2D39D524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 have the direct contact for communicating with them in the tight turnaround ANAF was looking for</w:t>
            </w: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170A0ABC" w:rsidTr="170A0ABC" w14:paraId="3B9F82AE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325952A2" w14:textId="63E64C4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29/02/24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3F994D4A" w14:textId="59C9B45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HEA Pathways Conference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917FFA2" w:rsidP="170A0ABC" w:rsidRDefault="1917FFA2" w14:paraId="3E9D75FF" w14:textId="0C7FBFF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917FFA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Discussions around retentions with students in tertiary education where I discussed the need to </w:t>
            </w:r>
            <w:r w:rsidRPr="170A0ABC" w:rsidR="7ED1089E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remember</w:t>
            </w:r>
            <w:r w:rsidRPr="170A0ABC" w:rsidR="1917FFA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 the holistic reason of dropping out when the</w:t>
            </w:r>
            <w:r w:rsidRPr="170A0ABC" w:rsidR="6C217794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re is a lack of support</w:t>
            </w:r>
          </w:p>
        </w:tc>
      </w:tr>
      <w:tr w:rsidR="170A0ABC" w:rsidTr="170A0ABC" w14:paraId="7ACFA17C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6A339D7B" w14:textId="1B387F6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01/03/24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6C1534C0" w14:textId="0DED483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QQI and representatives of student representative bodies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CDAF0B9" w:rsidP="170A0ABC" w:rsidRDefault="0CDAF0B9" w14:paraId="4464F4C0" w14:textId="1FA08C8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0CDAF0B9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Discussions of how we could collaborate for the year ahead</w:t>
            </w:r>
          </w:p>
        </w:tc>
      </w:tr>
      <w:tr w:rsidR="170A0ABC" w:rsidTr="170A0ABC" w14:paraId="3EEE13FF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655A22FF" w14:textId="6F2319B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01/03/24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7CE75B0E" w14:textId="41F1B3C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TUI 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81F47E0" w:rsidP="170A0ABC" w:rsidRDefault="081F47E0" w14:paraId="5B5388E0" w14:textId="7DD24BE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081F47E0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Meeting to discuss the TU’s repeat exams results release date, to move it to an earlier date</w:t>
            </w:r>
          </w:p>
        </w:tc>
      </w:tr>
      <w:tr w:rsidR="170A0ABC" w:rsidTr="170A0ABC" w14:paraId="7A8DAF7D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206596AE" w14:textId="42C8987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04-5/03/24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5FD8936D" w14:textId="7BDC588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UCCSU Referendum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54B441D5" w14:textId="0A684B1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 w:rsidRPr="170A0ABC" w:rsidR="2DF28B6B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On campus to push a yes USI vote</w:t>
            </w:r>
          </w:p>
        </w:tc>
      </w:tr>
      <w:tr w:rsidR="170A0ABC" w:rsidTr="170A0ABC" w14:paraId="715FCF6A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6D5C6923" w14:textId="63AAF80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05/03/24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65BEBC9A" w14:textId="2CEF98F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TMM</w:t>
            </w:r>
            <w:r w:rsidRPr="170A0ABC" w:rsidR="1661CA05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 (Tuesday Morning Meeting)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024E79F1" w14:textId="1B28598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170A0ABC" w:rsidTr="170A0ABC" w14:paraId="57FE8AB8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122C9A9A" w14:textId="201B119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07/03/24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2758EC4B" w14:textId="7F5183F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Higher Education 4.0 - Steering Group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1D2C0D89" w14:textId="3D57102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170A0ABC" w:rsidTr="170A0ABC" w14:paraId="66BAFC80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056DEC1F" w14:textId="643FB9A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11/03/24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5F26A635" w14:textId="1FAB119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MMM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04035F0F" w14:textId="5A16F25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170A0ABC" w:rsidTr="170A0ABC" w14:paraId="60FD54A3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2AE8A5E5" w14:textId="18DBC96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12/03/24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24301090" w14:textId="32325E5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THEA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967B6A3" w:rsidP="170A0ABC" w:rsidRDefault="2967B6A3" w14:paraId="4203E9B6" w14:textId="02F7CB9B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2967B6A3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Meeting to discuss the TU’s repeat exams results release date, to move it to an earlier date</w:t>
            </w:r>
          </w:p>
        </w:tc>
      </w:tr>
      <w:tr w:rsidR="170A0ABC" w:rsidTr="170A0ABC" w14:paraId="4E3BB791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1A7D112F" w14:textId="4574B99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12/03/24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2A4CB6DC" w14:textId="4FE888B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NStEP Belonging Project Update and Planning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5F47C8D" w:rsidP="170A0ABC" w:rsidRDefault="45F47C8D" w14:paraId="7B650972" w14:textId="6FFD188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45F47C8D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Meeting with the Manager for the Belonging Project to discuss its direction and how to engage students in the discussions</w:t>
            </w:r>
          </w:p>
        </w:tc>
      </w:tr>
      <w:tr w:rsidR="170A0ABC" w:rsidTr="170A0ABC" w14:paraId="4DCF74C6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0F487546" w14:textId="5023A93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12/03/24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38997916" w14:textId="4F9C4FD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TUDSU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8102729" w:rsidP="170A0ABC" w:rsidRDefault="28102729" w14:paraId="2E5EB324" w14:textId="58A541D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28102729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Meet to discuss how to push f</w:t>
            </w: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air work for pay policy</w:t>
            </w:r>
          </w:p>
        </w:tc>
      </w:tr>
      <w:tr w:rsidR="170A0ABC" w:rsidTr="170A0ABC" w14:paraId="69C35FD4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2F73A4C4" w14:textId="31CB746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13/03/24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5A031E83" w14:textId="474622F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Meeting with NAIN Chair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B5AC1D3" w:rsidP="170A0ABC" w:rsidRDefault="1B5AC1D3" w14:paraId="5221A5DA" w14:textId="732C9B5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B5AC1D3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To discuss the future of NAIN given QQI’s reduced support </w:t>
            </w:r>
          </w:p>
        </w:tc>
      </w:tr>
      <w:tr w:rsidR="170A0ABC" w:rsidTr="170A0ABC" w14:paraId="6B320C9E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7720801F" w14:textId="6909374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20-22/03/24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58384310" w14:textId="1E7B5B0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TUDSU Referendum 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E76BD8D" w:rsidP="170A0ABC" w:rsidRDefault="2E76BD8D" w14:paraId="633D7085" w14:textId="773F8F4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2E76BD8D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On campus to push a remain in USI</w:t>
            </w: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170A0ABC" w:rsidTr="170A0ABC" w14:paraId="2C08715E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7170AF5B" w14:textId="45A9E4E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22/03/24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6AD23140" w14:textId="7AB99E4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StudentSurvey.ie Review Working Group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1C09DDB9" w14:textId="494E6E2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170A0ABC" w:rsidTr="170A0ABC" w14:paraId="3EA3D3F3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450F19D6" w14:textId="73772B6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25-28/03/24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66289080" w14:textId="2E5E424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Comhdháil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14BE6B73" w14:textId="1113C15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170A0ABC" w:rsidTr="170A0ABC" w14:paraId="29C68277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16EF4054" w14:textId="584176D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03/04/24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787ADEDC" w14:textId="371F874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Comhdháil</w:t>
            </w: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 De Brief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6569ECF" w:rsidP="170A0ABC" w:rsidRDefault="46569ECF" w14:paraId="77AF75FF" w14:textId="6A7FB23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46569ECF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To debrief from the week at Comhdháil</w:t>
            </w:r>
          </w:p>
        </w:tc>
      </w:tr>
      <w:tr w:rsidR="170A0ABC" w:rsidTr="170A0ABC" w14:paraId="1A57C11B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40360C94" w14:textId="710E476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04/04/24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336341E1" w14:textId="3BB88D0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TUI Conference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6B50C5A" w:rsidP="170A0ABC" w:rsidRDefault="66B50C5A" w14:paraId="6A47B866" w14:textId="5B985A3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66B50C5A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Attended the conference to network and </w:t>
            </w:r>
            <w:r w:rsidRPr="170A0ABC" w:rsidR="66B50C5A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valuable</w:t>
            </w:r>
            <w:r w:rsidRPr="170A0ABC" w:rsidR="66B50C5A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 contacts were gained</w:t>
            </w:r>
          </w:p>
        </w:tc>
      </w:tr>
      <w:tr w:rsidR="170A0ABC" w:rsidTr="170A0ABC" w14:paraId="71171885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778AD14D" w14:textId="2D31D36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05/04/24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05395670" w14:textId="5B7C874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Graduate Outcome Survey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06083C2" w:rsidP="170A0ABC" w:rsidRDefault="206083C2" w14:paraId="4B5A1658" w14:textId="0325967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206083C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Discussion with Crowe </w:t>
            </w:r>
            <w:r w:rsidRPr="170A0ABC" w:rsidR="206083C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Consultancy</w:t>
            </w:r>
            <w:r w:rsidRPr="170A0ABC" w:rsidR="206083C2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 about a redesign for the survey</w:t>
            </w:r>
          </w:p>
        </w:tc>
      </w:tr>
      <w:tr w:rsidR="170A0ABC" w:rsidTr="170A0ABC" w14:paraId="199C7EE6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02592EDC" w14:textId="5641C46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08/04/24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653A4C27" w14:textId="40F0DFD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MMM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1E8F6ED3" w14:textId="1A126E9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170A0ABC" w:rsidTr="170A0ABC" w14:paraId="08ACE5C1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0E1F0B6C" w14:textId="4DD924A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08/04/24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1045B34C" w14:textId="0E6FA8B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Meeting on ESU motions with Palestine collation 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2507999" w:rsidP="170A0ABC" w:rsidRDefault="52507999" w14:paraId="65B99273" w14:textId="739CE17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52507999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Discussions with a coalition I set up in Estonia of </w:t>
            </w:r>
            <w:r w:rsidRPr="170A0ABC" w:rsidR="52507999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likeminded</w:t>
            </w:r>
            <w:r w:rsidRPr="170A0ABC" w:rsidR="52507999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 Unions to work together to push policy in ESU</w:t>
            </w:r>
          </w:p>
        </w:tc>
      </w:tr>
      <w:tr w:rsidR="170A0ABC" w:rsidTr="170A0ABC" w14:paraId="728065C7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245FB4A0" w14:textId="3FC8749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08/04/24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33DB950D" w14:textId="6AD024E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StudentSurvey.ie Review Working Group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1FB5F6D6" w14:textId="4AE7FA7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170A0ABC" w:rsidTr="170A0ABC" w14:paraId="5751F35B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7A2E8617" w14:textId="3963666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09/04/24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6AC0B29F" w14:textId="7BB280D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NStEP Meeting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AB8554B" w:rsidP="170A0ABC" w:rsidRDefault="6AB8554B" w14:paraId="495B995F" w14:textId="25E32F9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6AB8554B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Meeting with the training coordinator to discuss the training </w:t>
            </w:r>
            <w:r w:rsidRPr="170A0ABC" w:rsidR="6AB8554B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delivered</w:t>
            </w:r>
            <w:r w:rsidRPr="170A0ABC" w:rsidR="6AB8554B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 and the future of NStEP</w:t>
            </w:r>
          </w:p>
        </w:tc>
      </w:tr>
      <w:tr w:rsidR="170A0ABC" w:rsidTr="170A0ABC" w14:paraId="2670DA07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035F0F94" w14:textId="35B7D85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10-11/04/24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185621CD" w14:textId="523A0A8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BICS Awards Judging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1713304" w:rsidP="170A0ABC" w:rsidRDefault="71713304" w14:paraId="550B2271" w14:textId="7A0280A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71713304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Attend the BICS awards as a judge</w:t>
            </w:r>
          </w:p>
        </w:tc>
      </w:tr>
      <w:tr w:rsidR="170A0ABC" w:rsidTr="170A0ABC" w14:paraId="3EEF4BA0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77AC0028" w14:textId="3E66F12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16-18/04/24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05FC1F32" w14:textId="136C0CF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Sick Leave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50067F4F" w14:textId="3FB42D4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170A0ABC" w:rsidTr="170A0ABC" w14:paraId="462AE6BD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307FB898" w14:textId="78171A3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18/04/24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4DBFAABE" w14:textId="665B8C6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IUA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A0AC7E4" w:rsidP="170A0ABC" w:rsidRDefault="4A0AC7E4" w14:paraId="25A225FB" w14:textId="058B44A0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4A0AC7E4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Future</w:t>
            </w:r>
            <w:r w:rsidRPr="170A0ABC" w:rsidR="4A0AC7E4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 collaborations discussions</w:t>
            </w:r>
          </w:p>
        </w:tc>
      </w:tr>
      <w:tr w:rsidR="170A0ABC" w:rsidTr="170A0ABC" w14:paraId="188104CF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68F9E2DC" w14:textId="01F7B87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19/04/24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503CEE2B" w14:textId="24B2874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IFUT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3F413FC" w:rsidP="170A0ABC" w:rsidRDefault="33F413FC" w14:paraId="2249C6A6" w14:textId="46DFC9BA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33F413F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Future collaborations discussions</w:t>
            </w:r>
          </w:p>
        </w:tc>
      </w:tr>
      <w:tr w:rsidR="170A0ABC" w:rsidTr="170A0ABC" w14:paraId="35AF427B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30450AF0" w14:textId="1166DD1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19/04/24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071A75D1" w14:textId="4A34DB1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NTO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464032C" w:rsidP="170A0ABC" w:rsidRDefault="1464032C" w14:paraId="14F7AF35" w14:textId="0745D1B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464032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Meeting to discuss the student voice in the new tertiary </w:t>
            </w:r>
            <w:r w:rsidRPr="170A0ABC" w:rsidR="1464032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degrees</w:t>
            </w:r>
          </w:p>
        </w:tc>
      </w:tr>
      <w:tr w:rsidR="170A0ABC" w:rsidTr="170A0ABC" w14:paraId="057CBE51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44AEE4BB" w14:textId="37B76E8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19/04/24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462464E2" w14:textId="6C038EB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TUI &amp; THEA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E921158" w:rsidP="170A0ABC" w:rsidRDefault="0E921158" w14:paraId="0FCFF2BE" w14:textId="7A1B18D9">
            <w:pPr>
              <w:pStyle w:val="Normal"/>
              <w:suppressLineNumbers w:val="0"/>
              <w:bidi w:val="0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0E921158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Work with both TUI and THEA </w:t>
            </w:r>
            <w:r w:rsidRPr="170A0ABC" w:rsidR="6D12CC78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meeting with both together to have an open discussion the TU’s repeat exams results release date, to move it to an earlier date</w:t>
            </w:r>
          </w:p>
        </w:tc>
      </w:tr>
      <w:tr w:rsidR="170A0ABC" w:rsidTr="170A0ABC" w14:paraId="1F19E360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410F43A5" w14:textId="7DA3EC6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19/04/24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4875CEC3" w14:textId="10AA5B2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TUI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39390A5" w:rsidP="170A0ABC" w:rsidRDefault="639390A5" w14:paraId="1787FE0E" w14:textId="5C0A71B8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639390A5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Future collaborations discussions</w:t>
            </w:r>
          </w:p>
        </w:tc>
      </w:tr>
      <w:tr w:rsidR="170A0ABC" w:rsidTr="170A0ABC" w14:paraId="48842BA6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4F095822" w14:textId="166C7F0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22/04/24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3EA78C4C" w14:textId="7679B31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QQI Board Meeting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4E133062" w14:textId="3973DA5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170A0ABC" w:rsidTr="170A0ABC" w14:paraId="6F01B371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4CF202AC" w14:textId="281D487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23/04/24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0D88E280" w14:textId="082CAEA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Apprentice/ FET Meeting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8EB4C9F" w:rsidP="170A0ABC" w:rsidRDefault="58EB4C9F" w14:paraId="3FD0E63A" w14:textId="01D2D36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58EB4C9F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Discussion with VP for Campaigns and the President on our direction we are moving towards in these sectors</w:t>
            </w:r>
          </w:p>
        </w:tc>
      </w:tr>
      <w:tr w:rsidR="170A0ABC" w:rsidTr="170A0ABC" w14:paraId="4D8FB5D4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3A3F07B4" w14:textId="08673AF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23/04/24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4D68EB6D" w14:textId="0B4FF9F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ATUS SU SUSI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83DBF38" w:rsidP="170A0ABC" w:rsidRDefault="383DBF38" w14:paraId="07CD8EE5" w14:textId="320424B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383DBF38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Discussion with the union and gave advice with SUSI casework</w:t>
            </w:r>
          </w:p>
        </w:tc>
      </w:tr>
      <w:tr w:rsidR="170A0ABC" w:rsidTr="170A0ABC" w14:paraId="68DEB394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0DEADFFE" w14:textId="7D56857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23/04/24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7C41D279" w14:textId="79B3729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Constitutional Assembly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9031D1" w:rsidP="170A0ABC" w:rsidRDefault="179031D1" w14:paraId="221D4CA4" w14:textId="37FE3FB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9031D1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Discussions around setting up the newly mandated </w:t>
            </w:r>
            <w:r w:rsidRPr="170A0ABC" w:rsidR="179031D1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Constitutional</w:t>
            </w:r>
            <w:r w:rsidRPr="170A0ABC" w:rsidR="179031D1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 Assembly</w:t>
            </w:r>
          </w:p>
        </w:tc>
      </w:tr>
      <w:tr w:rsidR="170A0ABC" w:rsidTr="170A0ABC" w14:paraId="7A0444BE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323FAB39" w14:textId="3265EDF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25/04/24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43E47D2F" w14:textId="07742E7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SIPTU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4AE5075" w:rsidP="170A0ABC" w:rsidRDefault="34AE5075" w14:paraId="1BF36945" w14:textId="79A5A52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34AE5075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Meeting for organising training for </w:t>
            </w:r>
            <w:r w:rsidRPr="170A0ABC" w:rsidR="34AE5075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Cois</w:t>
            </w:r>
            <w:r w:rsidRPr="170A0ABC" w:rsidR="26B05418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te</w:t>
            </w:r>
            <w:r w:rsidRPr="170A0ABC" w:rsidR="26B05418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 and MO’s going </w:t>
            </w:r>
            <w:r w:rsidRPr="170A0ABC" w:rsidR="26B05418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ahead,</w:t>
            </w:r>
            <w:r w:rsidRPr="170A0ABC" w:rsidR="26B05418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 and collaboration plans and be more collaborative with the SIPTU campaigns </w:t>
            </w:r>
          </w:p>
        </w:tc>
      </w:tr>
      <w:tr w:rsidR="170A0ABC" w:rsidTr="170A0ABC" w14:paraId="5FD3F49A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0E8110E7" w14:textId="40856D0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26/04/24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5D5E8496" w14:textId="25A48EE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ESU Prep Meeting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602C6B1" w:rsidP="170A0ABC" w:rsidRDefault="0602C6B1" w14:paraId="08035EE9" w14:textId="021A17C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0602C6B1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Meeting with delegates to discuss the week in Geneva</w:t>
            </w:r>
          </w:p>
        </w:tc>
      </w:tr>
      <w:tr w:rsidR="170A0ABC" w:rsidTr="170A0ABC" w14:paraId="543E50E4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0EBEF6FB" w14:textId="6CACC1D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29/04/24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0478F145" w14:textId="1BDD323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Meeting with ESU Palestine </w:t>
            </w:r>
            <w:r w:rsidRPr="170A0ABC" w:rsidR="3E41157E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coalition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DD5B94F" w:rsidP="170A0ABC" w:rsidRDefault="5DD5B94F" w14:paraId="0A3680F9" w14:textId="0276F35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5DD5B94F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Meeting to discuss motions for the Board Meeting</w:t>
            </w:r>
          </w:p>
        </w:tc>
      </w:tr>
      <w:tr w:rsidR="170A0ABC" w:rsidTr="170A0ABC" w14:paraId="775E55F9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1657757B" w14:textId="7BDB9C4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29/04/24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17C5BBF3" w14:textId="586A028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Filming for Student Survey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9DC82BD" w:rsidP="170A0ABC" w:rsidRDefault="29DC82BD" w14:paraId="4BDDD1CA" w14:textId="660A658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29DC82BD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Filming to make a video explaining to stakeholders why the survey took a break</w:t>
            </w:r>
          </w:p>
        </w:tc>
      </w:tr>
      <w:tr w:rsidR="170A0ABC" w:rsidTr="170A0ABC" w14:paraId="6661158A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3D84BEB7" w14:textId="7A6D985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30/04/24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21AD18A" w:rsidP="170A0ABC" w:rsidRDefault="621AD18A" w14:paraId="55F2F42C" w14:textId="2DE235F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621AD18A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CMLOG </w:t>
            </w: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Voter Reg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0BA6ECE1" w14:textId="24A1598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170A0ABC" w:rsidTr="170A0ABC" w14:paraId="3700624D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569F90D4" w14:textId="04A92E7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30/04/24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6B22E2F4" w14:textId="38C91F2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Tuesday Morning Meeting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3CD0E1DD" w14:textId="55BDD05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170A0ABC" w:rsidTr="170A0ABC" w14:paraId="68772672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0469FC2F" w14:textId="78C0E1D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01/05/24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6A941CCA" w14:textId="030949A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Policy File Update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FF816F0" w:rsidP="170A0ABC" w:rsidRDefault="4FF816F0" w14:paraId="75C6B25B" w14:textId="40F256F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4FF816F0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Working on updating the policy file following </w:t>
            </w:r>
            <w:r w:rsidRPr="170A0ABC" w:rsidR="4FF816F0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Comhdháil</w:t>
            </w:r>
            <w:r w:rsidRPr="170A0ABC" w:rsidR="4FF816F0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 xml:space="preserve"> and making a concise policy tracker</w:t>
            </w:r>
          </w:p>
        </w:tc>
      </w:tr>
      <w:tr w:rsidR="170A0ABC" w:rsidTr="170A0ABC" w14:paraId="50F09B1F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1EFB9BA4" w14:textId="0729527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01/05/24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4EA52B68" w14:textId="668483B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ESU prep meeting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70351F0" w:rsidP="170A0ABC" w:rsidRDefault="770351F0" w14:paraId="6A40954F" w14:textId="5430AF70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770351F0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Meeting with delegates to discuss the week in Geneva</w:t>
            </w:r>
          </w:p>
        </w:tc>
      </w:tr>
      <w:tr w:rsidR="170A0ABC" w:rsidTr="170A0ABC" w14:paraId="0900B563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536C9F0D" w14:textId="20C5A55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02/05/24</w:t>
            </w:r>
          </w:p>
        </w:tc>
        <w:tc>
          <w:tcPr>
            <w:tcW w:w="35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2A091F3F" w14:textId="15A6B0A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SAAI Awards</w:t>
            </w:r>
          </w:p>
        </w:tc>
        <w:tc>
          <w:tcPr>
            <w:tcW w:w="46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524497D" w:rsidP="170A0ABC" w:rsidRDefault="3524497D" w14:paraId="2BA8C763" w14:textId="502C96F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</w:pPr>
            <w:r w:rsidRPr="170A0ABC" w:rsidR="3524497D"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en-GB"/>
              </w:rPr>
              <w:t>Presented an award at the SAAI’s</w:t>
            </w:r>
          </w:p>
        </w:tc>
      </w:tr>
    </w:tbl>
    <w:p xmlns:wp14="http://schemas.microsoft.com/office/word/2010/wordml" w:rsidP="170A0ABC" wp14:paraId="5F49612D" wp14:textId="54E6DA5B">
      <w:pPr>
        <w:spacing w:before="0" w:beforeAutospacing="off" w:after="0" w:afterAutospacing="off"/>
      </w:pPr>
      <w:r w:rsidRPr="170A0ABC" w:rsidR="0B369D9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170A0ABC" wp14:paraId="5A882027" wp14:textId="23A214FC">
      <w:pPr>
        <w:spacing w:before="0" w:beforeAutospacing="off" w:after="0" w:afterAutospacing="off" w:line="276" w:lineRule="auto"/>
      </w:pPr>
      <w:r w:rsidRPr="170A0ABC" w:rsidR="0B369D9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170A0ABC" wp14:paraId="2BB38D83" wp14:textId="78F512E1">
      <w:pPr>
        <w:spacing w:line="276" w:lineRule="auto"/>
      </w:pPr>
    </w:p>
    <w:p xmlns:wp14="http://schemas.microsoft.com/office/word/2010/wordml" w:rsidP="170A0ABC" wp14:paraId="44D16A4C" wp14:textId="11AADA72">
      <w:pPr>
        <w:spacing w:before="0" w:beforeAutospacing="off" w:after="0" w:afterAutospacing="off" w:line="276" w:lineRule="auto"/>
      </w:pPr>
      <w:r w:rsidRPr="170A0ABC" w:rsidR="0B369D9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</w:t>
      </w:r>
    </w:p>
    <w:p xmlns:wp14="http://schemas.microsoft.com/office/word/2010/wordml" w:rsidP="170A0ABC" wp14:paraId="489EAA66" wp14:textId="44385C88">
      <w:pPr>
        <w:pStyle w:val="Normal"/>
        <w:spacing w:before="0" w:beforeAutospacing="off" w:after="0" w:afterAutospacing="off" w:line="276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</w:p>
    <w:p xmlns:wp14="http://schemas.microsoft.com/office/word/2010/wordml" w:rsidP="170A0ABC" wp14:paraId="70FC4434" wp14:textId="754A0BAF">
      <w:pPr>
        <w:pStyle w:val="Normal"/>
        <w:spacing w:before="0" w:beforeAutospacing="off" w:after="0" w:afterAutospacing="off" w:line="276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</w:p>
    <w:p xmlns:wp14="http://schemas.microsoft.com/office/word/2010/wordml" w:rsidP="170A0ABC" wp14:paraId="6530EE03" wp14:textId="22CB726B">
      <w:pPr>
        <w:pStyle w:val="Normal"/>
        <w:spacing w:before="0" w:beforeAutospacing="off" w:after="0" w:afterAutospacing="off" w:line="276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</w:p>
    <w:p xmlns:wp14="http://schemas.microsoft.com/office/word/2010/wordml" w:rsidP="170A0ABC" wp14:paraId="6250D7F5" wp14:textId="572F8650">
      <w:pPr>
        <w:pStyle w:val="Normal"/>
        <w:spacing w:before="0" w:beforeAutospacing="off" w:after="0" w:afterAutospacing="off" w:line="276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</w:p>
    <w:p xmlns:wp14="http://schemas.microsoft.com/office/word/2010/wordml" w:rsidP="170A0ABC" wp14:paraId="56106D28" wp14:textId="3D8E4586">
      <w:pPr>
        <w:pStyle w:val="Normal"/>
        <w:spacing w:before="0" w:beforeAutospacing="off" w:after="0" w:afterAutospacing="off" w:line="276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</w:p>
    <w:p xmlns:wp14="http://schemas.microsoft.com/office/word/2010/wordml" w:rsidP="170A0ABC" wp14:paraId="02CFFC09" wp14:textId="333DC29B">
      <w:pPr>
        <w:pStyle w:val="Normal"/>
        <w:spacing w:before="0" w:beforeAutospacing="off" w:after="0" w:afterAutospacing="off" w:line="276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</w:p>
    <w:p xmlns:wp14="http://schemas.microsoft.com/office/word/2010/wordml" w:rsidP="170A0ABC" wp14:paraId="1C3AF608" wp14:textId="420E93E6">
      <w:pPr>
        <w:pStyle w:val="Normal"/>
        <w:spacing w:before="0" w:beforeAutospacing="off" w:after="0" w:afterAutospacing="off" w:line="276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</w:p>
    <w:p xmlns:wp14="http://schemas.microsoft.com/office/word/2010/wordml" w:rsidP="170A0ABC" wp14:paraId="37F3640B" wp14:textId="63DD0A6C">
      <w:pPr>
        <w:pStyle w:val="Normal"/>
        <w:spacing w:before="0" w:beforeAutospacing="off" w:after="0" w:afterAutospacing="off" w:line="276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</w:p>
    <w:p xmlns:wp14="http://schemas.microsoft.com/office/word/2010/wordml" w:rsidP="170A0ABC" wp14:paraId="4C2E8E5A" wp14:textId="5C4A191A">
      <w:pPr>
        <w:pStyle w:val="Normal"/>
        <w:spacing w:before="0" w:beforeAutospacing="off" w:after="0" w:afterAutospacing="off" w:line="276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</w:p>
    <w:p xmlns:wp14="http://schemas.microsoft.com/office/word/2010/wordml" w:rsidP="170A0ABC" wp14:paraId="4F2BC6CB" wp14:textId="060073F1">
      <w:pPr>
        <w:pStyle w:val="Normal"/>
        <w:spacing w:before="0" w:beforeAutospacing="off" w:after="0" w:afterAutospacing="off" w:line="276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</w:p>
    <w:p xmlns:wp14="http://schemas.microsoft.com/office/word/2010/wordml" w:rsidP="170A0ABC" wp14:paraId="46B1B986" wp14:textId="4277B364">
      <w:pPr>
        <w:spacing w:before="0" w:beforeAutospacing="off" w:after="0" w:afterAutospacing="off" w:line="276" w:lineRule="auto"/>
      </w:pPr>
      <w:r w:rsidRPr="170A0ABC" w:rsidR="0B369D9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3. Plan of Work Progress</w:t>
      </w:r>
    </w:p>
    <w:p xmlns:wp14="http://schemas.microsoft.com/office/word/2010/wordml" w:rsidP="170A0ABC" wp14:paraId="636F93E1" wp14:textId="735D21E2">
      <w:pPr>
        <w:spacing w:before="0" w:beforeAutospacing="off" w:after="0" w:afterAutospacing="off"/>
        <w:ind w:left="5040" w:right="0" w:firstLine="720"/>
      </w:pPr>
      <w:r w:rsidRPr="170A0ABC" w:rsidR="0B369D99">
        <w:rPr>
          <w:rFonts w:ascii="Arial" w:hAnsi="Arial" w:eastAsia="Arial" w:cs="Arial"/>
          <w:i w:val="1"/>
          <w:iCs w:val="1"/>
          <w:noProof w:val="0"/>
          <w:sz w:val="18"/>
          <w:szCs w:val="18"/>
          <w:lang w:val="en-GB"/>
        </w:rPr>
        <w:t>*Red = Not Started</w:t>
      </w:r>
    </w:p>
    <w:p xmlns:wp14="http://schemas.microsoft.com/office/word/2010/wordml" w:rsidP="170A0ABC" wp14:paraId="691800F0" wp14:textId="62CB10A0">
      <w:pPr>
        <w:spacing w:before="0" w:beforeAutospacing="off" w:after="0" w:afterAutospacing="off"/>
        <w:ind w:left="5040" w:right="0" w:firstLine="720"/>
      </w:pPr>
      <w:r w:rsidRPr="170A0ABC" w:rsidR="0B369D99">
        <w:rPr>
          <w:rFonts w:ascii="Arial" w:hAnsi="Arial" w:eastAsia="Arial" w:cs="Arial"/>
          <w:i w:val="1"/>
          <w:iCs w:val="1"/>
          <w:noProof w:val="0"/>
          <w:sz w:val="18"/>
          <w:szCs w:val="18"/>
          <w:lang w:val="en-GB"/>
        </w:rPr>
        <w:t>Amber = In Progress</w:t>
      </w:r>
    </w:p>
    <w:p xmlns:wp14="http://schemas.microsoft.com/office/word/2010/wordml" w:rsidP="170A0ABC" wp14:paraId="3BE3CCC2" wp14:textId="12B023D3">
      <w:pPr>
        <w:spacing w:before="0" w:beforeAutospacing="off" w:after="0" w:afterAutospacing="off"/>
        <w:ind w:left="5040" w:right="0" w:firstLine="720"/>
      </w:pPr>
      <w:r w:rsidRPr="170A0ABC" w:rsidR="0B369D99">
        <w:rPr>
          <w:rFonts w:ascii="Arial" w:hAnsi="Arial" w:eastAsia="Arial" w:cs="Arial"/>
          <w:i w:val="1"/>
          <w:iCs w:val="1"/>
          <w:noProof w:val="0"/>
          <w:sz w:val="18"/>
          <w:szCs w:val="18"/>
          <w:lang w:val="en-GB"/>
        </w:rPr>
        <w:t>Green = Completed</w:t>
      </w:r>
    </w:p>
    <w:p xmlns:wp14="http://schemas.microsoft.com/office/word/2010/wordml" w:rsidP="170A0ABC" wp14:paraId="4686524F" wp14:textId="6810AE1A">
      <w:pPr>
        <w:spacing w:before="0" w:beforeAutospacing="off" w:after="0" w:afterAutospacing="off"/>
      </w:pPr>
      <w:r w:rsidRPr="170A0ABC" w:rsidR="0B369D99">
        <w:rPr>
          <w:rFonts w:ascii="Arial" w:hAnsi="Arial" w:eastAsia="Arial" w:cs="Arial"/>
          <w:i w:val="1"/>
          <w:iCs w:val="1"/>
          <w:noProof w:val="0"/>
          <w:sz w:val="18"/>
          <w:szCs w:val="18"/>
          <w:lang w:val="en-GB"/>
        </w:rPr>
        <w:t xml:space="preserve"> </w:t>
      </w: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2283"/>
        <w:gridCol w:w="3052"/>
        <w:gridCol w:w="3435"/>
      </w:tblGrid>
      <w:tr w:rsidR="170A0ABC" w:rsidTr="51CAE236" w14:paraId="7B1962D7">
        <w:trPr>
          <w:trHeight w:val="270"/>
        </w:trPr>
        <w:tc>
          <w:tcPr>
            <w:tcW w:w="228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3A793532" w14:textId="057C474A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GB"/>
              </w:rPr>
              <w:t>Goal</w:t>
            </w:r>
          </w:p>
        </w:tc>
        <w:tc>
          <w:tcPr>
            <w:tcW w:w="30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4850862D" w14:textId="13C2F2ED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GB"/>
              </w:rPr>
              <w:t>Actions Taken</w:t>
            </w:r>
          </w:p>
        </w:tc>
        <w:tc>
          <w:tcPr>
            <w:tcW w:w="34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244320CF" w14:textId="4279E786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GB"/>
              </w:rPr>
              <w:t>Progress</w:t>
            </w:r>
          </w:p>
        </w:tc>
      </w:tr>
      <w:tr w:rsidR="170A0ABC" w:rsidTr="51CAE236" w14:paraId="33074540">
        <w:trPr>
          <w:trHeight w:val="270"/>
        </w:trPr>
        <w:tc>
          <w:tcPr>
            <w:tcW w:w="228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143018A4" w14:textId="1F6CF7DB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sz w:val="22"/>
                <w:szCs w:val="22"/>
              </w:rPr>
              <w:t>NStEP</w:t>
            </w:r>
          </w:p>
          <w:p w:rsidR="170A0ABC" w:rsidP="170A0ABC" w:rsidRDefault="170A0ABC" w14:paraId="348B2483" w14:textId="0689E232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0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1A8F3925" w14:textId="19A20366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ind w:left="720" w:right="0" w:hanging="360"/>
              <w:rPr>
                <w:rFonts w:ascii="Arial" w:hAnsi="Arial" w:eastAsia="Arial" w:cs="Arial"/>
                <w:sz w:val="18"/>
                <w:szCs w:val="18"/>
                <w:lang w:val="en-GB"/>
              </w:rPr>
            </w:pPr>
            <w:r w:rsidRPr="170A0ABC" w:rsidR="170A0ABC">
              <w:rPr>
                <w:rFonts w:ascii="Arial" w:hAnsi="Arial" w:eastAsia="Arial" w:cs="Arial"/>
                <w:sz w:val="18"/>
                <w:szCs w:val="18"/>
                <w:lang w:val="en-GB"/>
              </w:rPr>
              <w:t xml:space="preserve">Attend regular meetings of the NStEP Steering Committee, and Advisory Committee to ensure effective governance of the programme. </w:t>
            </w:r>
          </w:p>
          <w:p w:rsidR="170A0ABC" w:rsidP="170A0ABC" w:rsidRDefault="170A0ABC" w14:paraId="4AE7F38E" w14:textId="2E5E889A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ind w:left="720" w:right="0" w:hanging="360"/>
              <w:rPr>
                <w:rFonts w:ascii="Arial" w:hAnsi="Arial" w:eastAsia="Arial" w:cs="Arial"/>
                <w:sz w:val="18"/>
                <w:szCs w:val="18"/>
                <w:lang w:val="en-GB"/>
              </w:rPr>
            </w:pPr>
            <w:r w:rsidRPr="170A0ABC" w:rsidR="170A0ABC">
              <w:rPr>
                <w:rFonts w:ascii="Arial" w:hAnsi="Arial" w:eastAsia="Arial" w:cs="Arial"/>
                <w:sz w:val="18"/>
                <w:szCs w:val="18"/>
                <w:lang w:val="en-GB"/>
              </w:rPr>
              <w:t xml:space="preserve">Got confirmation that USI will be keeping the program, and a new manager is to be hired  </w:t>
            </w:r>
          </w:p>
        </w:tc>
        <w:tc>
          <w:tcPr>
            <w:tcW w:w="34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4EA72E" w:themeFill="accent6"/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7980CE7A" w14:textId="6574A336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GB"/>
              </w:rPr>
              <w:t xml:space="preserve"> </w:t>
            </w:r>
          </w:p>
        </w:tc>
      </w:tr>
      <w:tr w:rsidR="170A0ABC" w:rsidTr="51CAE236" w14:paraId="28263DC1">
        <w:trPr>
          <w:trHeight w:val="270"/>
        </w:trPr>
        <w:tc>
          <w:tcPr>
            <w:tcW w:w="228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6072FE5D" w14:textId="78AA8438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National Student Training </w:t>
            </w:r>
            <w:r w:rsidRPr="170A0ABC" w:rsidR="170A0ABC">
              <w:rPr>
                <w:rFonts w:ascii="Arial" w:hAnsi="Arial" w:eastAsia="Arial" w:cs="Arial"/>
                <w:sz w:val="22"/>
                <w:szCs w:val="22"/>
              </w:rPr>
              <w:t>Programme</w:t>
            </w:r>
            <w:r w:rsidRPr="170A0ABC" w:rsidR="170A0AB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30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4D0B8480" w14:textId="41B0FD2B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ind w:left="720" w:right="0" w:hanging="360"/>
              <w:rPr>
                <w:rFonts w:ascii="Arial" w:hAnsi="Arial" w:eastAsia="Arial" w:cs="Arial"/>
                <w:sz w:val="18"/>
                <w:szCs w:val="18"/>
                <w:lang w:val="en-GB"/>
              </w:rPr>
            </w:pPr>
            <w:r w:rsidRPr="170A0ABC" w:rsidR="170A0ABC">
              <w:rPr>
                <w:rFonts w:ascii="Arial" w:hAnsi="Arial" w:eastAsia="Arial" w:cs="Arial"/>
                <w:sz w:val="18"/>
                <w:szCs w:val="18"/>
                <w:lang w:val="en-GB"/>
              </w:rPr>
              <w:t>The program will be getting a refresh when a new manager comes on board to be fit for purpose for SU’s</w:t>
            </w:r>
          </w:p>
        </w:tc>
        <w:tc>
          <w:tcPr>
            <w:tcW w:w="34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4EA72E" w:themeFill="accent6"/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10BBC5A9" w14:textId="3A80CFFB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GB"/>
              </w:rPr>
              <w:t xml:space="preserve"> </w:t>
            </w:r>
          </w:p>
        </w:tc>
      </w:tr>
      <w:tr w:rsidR="170A0ABC" w:rsidTr="51CAE236" w14:paraId="3055EA57">
        <w:trPr>
          <w:trHeight w:val="270"/>
        </w:trPr>
        <w:tc>
          <w:tcPr>
            <w:tcW w:w="228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7AD2A0B7" w14:textId="6A2394A0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Quality and Qualifications Ireland (QQI) </w:t>
            </w:r>
          </w:p>
        </w:tc>
        <w:tc>
          <w:tcPr>
            <w:tcW w:w="30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57760CB5" w14:textId="490E8309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ind w:left="720" w:right="0" w:hanging="360"/>
              <w:rPr>
                <w:rFonts w:ascii="Arial" w:hAnsi="Arial" w:eastAsia="Arial" w:cs="Arial"/>
                <w:sz w:val="18"/>
                <w:szCs w:val="18"/>
                <w:lang w:val="en-GB"/>
              </w:rPr>
            </w:pPr>
            <w:r w:rsidRPr="170A0ABC" w:rsidR="170A0ABC">
              <w:rPr>
                <w:rFonts w:ascii="Arial" w:hAnsi="Arial" w:eastAsia="Arial" w:cs="Arial"/>
                <w:sz w:val="18"/>
                <w:szCs w:val="18"/>
                <w:lang w:val="en-GB"/>
              </w:rPr>
              <w:t xml:space="preserve">Ongoing work with pushing student engagement in higher education on the boards I sit on </w:t>
            </w:r>
          </w:p>
          <w:p w:rsidR="170A0ABC" w:rsidP="170A0ABC" w:rsidRDefault="170A0ABC" w14:paraId="3D41E7D0" w14:textId="2C8EECD6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ind w:left="720" w:right="0" w:hanging="360"/>
              <w:rPr>
                <w:rFonts w:ascii="Arial" w:hAnsi="Arial" w:eastAsia="Arial" w:cs="Arial"/>
                <w:sz w:val="18"/>
                <w:szCs w:val="18"/>
                <w:lang w:val="en-GB"/>
              </w:rPr>
            </w:pPr>
            <w:r w:rsidRPr="170A0ABC" w:rsidR="170A0ABC">
              <w:rPr>
                <w:rFonts w:ascii="Arial" w:hAnsi="Arial" w:eastAsia="Arial" w:cs="Arial"/>
                <w:sz w:val="18"/>
                <w:szCs w:val="18"/>
                <w:lang w:val="en-GB"/>
              </w:rPr>
              <w:t>NAIN is in a transitionary stage at the moment but hopes are still to have a co-run academic integrity campaign</w:t>
            </w:r>
          </w:p>
        </w:tc>
        <w:tc>
          <w:tcPr>
            <w:tcW w:w="34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79646"/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7142AEB3" w14:textId="3919EEEC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GB"/>
              </w:rPr>
              <w:t xml:space="preserve"> </w:t>
            </w:r>
          </w:p>
        </w:tc>
      </w:tr>
      <w:tr w:rsidR="170A0ABC" w:rsidTr="51CAE236" w14:paraId="0CE00F2A">
        <w:trPr>
          <w:trHeight w:val="270"/>
        </w:trPr>
        <w:tc>
          <w:tcPr>
            <w:tcW w:w="228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0A65DA53" w14:textId="123E8933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Student Survey.ie </w:t>
            </w:r>
          </w:p>
        </w:tc>
        <w:tc>
          <w:tcPr>
            <w:tcW w:w="30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04C7445E" w14:textId="75129F5C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ind w:left="720" w:right="0" w:hanging="360"/>
              <w:rPr>
                <w:rFonts w:ascii="Arial" w:hAnsi="Arial" w:eastAsia="Arial" w:cs="Arial"/>
                <w:sz w:val="18"/>
                <w:szCs w:val="18"/>
                <w:lang w:val="en-GB"/>
              </w:rPr>
            </w:pPr>
            <w:r w:rsidRPr="170A0ABC" w:rsidR="170A0ABC">
              <w:rPr>
                <w:rFonts w:ascii="Arial" w:hAnsi="Arial" w:eastAsia="Arial" w:cs="Arial"/>
                <w:sz w:val="18"/>
                <w:szCs w:val="18"/>
                <w:lang w:val="en-GB"/>
              </w:rPr>
              <w:t xml:space="preserve">With the feedback from SU’s, I got the survey to be put off for a year for it to be worked on and redesigned for student purposes. Less jargon and in more accessible language  </w:t>
            </w:r>
          </w:p>
        </w:tc>
        <w:tc>
          <w:tcPr>
            <w:tcW w:w="34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4EA72E" w:themeFill="accent6"/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6B968F39" w14:textId="4520E0D3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GB"/>
              </w:rPr>
              <w:t xml:space="preserve"> </w:t>
            </w:r>
          </w:p>
        </w:tc>
      </w:tr>
      <w:tr w:rsidR="170A0ABC" w:rsidTr="51CAE236" w14:paraId="7F7A7887">
        <w:trPr>
          <w:trHeight w:val="255"/>
        </w:trPr>
        <w:tc>
          <w:tcPr>
            <w:tcW w:w="228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7D4580F6" w14:textId="4380F354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Further Partnerships </w:t>
            </w:r>
          </w:p>
        </w:tc>
        <w:tc>
          <w:tcPr>
            <w:tcW w:w="30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081B9DB8" w14:textId="07E579F1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ind w:left="720" w:right="0" w:hanging="360"/>
              <w:rPr>
                <w:rFonts w:ascii="Arial" w:hAnsi="Arial" w:eastAsia="Arial" w:cs="Arial"/>
                <w:sz w:val="18"/>
                <w:szCs w:val="18"/>
                <w:lang w:val="en-GB"/>
              </w:rPr>
            </w:pPr>
            <w:r w:rsidRPr="170A0ABC" w:rsidR="170A0ABC">
              <w:rPr>
                <w:rFonts w:ascii="Arial" w:hAnsi="Arial" w:eastAsia="Arial" w:cs="Arial"/>
                <w:sz w:val="18"/>
                <w:szCs w:val="18"/>
                <w:lang w:val="en-GB"/>
              </w:rPr>
              <w:t>Relationships with trade unions have been renewed within the sector. Collaboration projects are underway with closer ties with each other for the future</w:t>
            </w:r>
          </w:p>
        </w:tc>
        <w:tc>
          <w:tcPr>
            <w:tcW w:w="34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4EA72E" w:themeFill="accent6"/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11CF0702" w14:textId="10D9D387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GB"/>
              </w:rPr>
              <w:t xml:space="preserve"> </w:t>
            </w:r>
          </w:p>
        </w:tc>
      </w:tr>
      <w:tr w:rsidR="170A0ABC" w:rsidTr="51CAE236" w14:paraId="580BC957">
        <w:trPr>
          <w:trHeight w:val="270"/>
        </w:trPr>
        <w:tc>
          <w:tcPr>
            <w:tcW w:w="228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148D883A" w14:textId="4F39FDC3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Student Placement </w:t>
            </w:r>
            <w:r w:rsidRPr="170A0ABC" w:rsidR="170A0ABC">
              <w:rPr>
                <w:rFonts w:ascii="Arial" w:hAnsi="Arial" w:eastAsia="Arial" w:cs="Arial"/>
                <w:sz w:val="22"/>
                <w:szCs w:val="22"/>
              </w:rPr>
              <w:t>Survey</w:t>
            </w:r>
            <w:r w:rsidRPr="170A0ABC" w:rsidR="170A0AB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30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2D57EB88" w14:textId="483DCA9A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ind w:left="720" w:right="0" w:hanging="360"/>
              <w:rPr>
                <w:rFonts w:ascii="Arial" w:hAnsi="Arial" w:eastAsia="Arial" w:cs="Arial"/>
                <w:sz w:val="18"/>
                <w:szCs w:val="18"/>
                <w:lang w:val="en-GB"/>
              </w:rPr>
            </w:pPr>
            <w:r w:rsidRPr="170A0ABC" w:rsidR="170A0ABC">
              <w:rPr>
                <w:rFonts w:ascii="Arial" w:hAnsi="Arial" w:eastAsia="Arial" w:cs="Arial"/>
                <w:sz w:val="18"/>
                <w:szCs w:val="18"/>
                <w:lang w:val="en-GB"/>
              </w:rPr>
              <w:t>This hasn’t begun yet</w:t>
            </w:r>
          </w:p>
        </w:tc>
        <w:tc>
          <w:tcPr>
            <w:tcW w:w="34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0000"/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787FBF03" w14:textId="7A5067FD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GB"/>
              </w:rPr>
              <w:t xml:space="preserve"> </w:t>
            </w:r>
          </w:p>
        </w:tc>
      </w:tr>
      <w:tr w:rsidR="170A0ABC" w:rsidTr="51CAE236" w14:paraId="05B7E046">
        <w:trPr>
          <w:trHeight w:val="270"/>
        </w:trPr>
        <w:tc>
          <w:tcPr>
            <w:tcW w:w="228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4C3123C0" w14:textId="61C65704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Quality Assurance Engagement </w:t>
            </w:r>
          </w:p>
        </w:tc>
        <w:tc>
          <w:tcPr>
            <w:tcW w:w="30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07536075" w14:textId="67D26FB9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ind w:left="720" w:right="0" w:hanging="360"/>
              <w:rPr>
                <w:rFonts w:ascii="Arial" w:hAnsi="Arial" w:eastAsia="Arial" w:cs="Arial"/>
                <w:sz w:val="18"/>
                <w:szCs w:val="18"/>
                <w:lang w:val="en-GB"/>
              </w:rPr>
            </w:pPr>
            <w:r w:rsidRPr="170A0ABC" w:rsidR="170A0ABC">
              <w:rPr>
                <w:rFonts w:ascii="Arial" w:hAnsi="Arial" w:eastAsia="Arial" w:cs="Arial"/>
                <w:sz w:val="18"/>
                <w:szCs w:val="18"/>
                <w:lang w:val="en-GB"/>
              </w:rPr>
              <w:t>Pushing for QQI to engage with students more to get their voices heard.</w:t>
            </w:r>
          </w:p>
          <w:p w:rsidR="170A0ABC" w:rsidP="170A0ABC" w:rsidRDefault="170A0ABC" w14:paraId="3939903B" w14:textId="384D9062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ind w:left="720" w:right="0" w:hanging="360"/>
              <w:rPr>
                <w:rFonts w:ascii="Arial" w:hAnsi="Arial" w:eastAsia="Arial" w:cs="Arial"/>
                <w:sz w:val="22"/>
                <w:szCs w:val="22"/>
                <w:lang w:val="en-GB"/>
              </w:rPr>
            </w:pPr>
            <w:r w:rsidRPr="170A0ABC" w:rsidR="170A0ABC">
              <w:rPr>
                <w:rFonts w:ascii="Arial" w:hAnsi="Arial" w:eastAsia="Arial" w:cs="Arial"/>
                <w:sz w:val="18"/>
                <w:szCs w:val="18"/>
                <w:lang w:val="en-GB"/>
              </w:rPr>
              <w:t>Pushing for more student voices on panels</w:t>
            </w:r>
            <w:r w:rsidRPr="170A0ABC" w:rsidR="170A0ABC">
              <w:rPr>
                <w:rFonts w:ascii="Arial" w:hAnsi="Arial" w:eastAsia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4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4EA72E" w:themeFill="accent6"/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070E4F68" w14:textId="5B757464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GB"/>
              </w:rPr>
              <w:t xml:space="preserve"> </w:t>
            </w:r>
          </w:p>
        </w:tc>
      </w:tr>
      <w:tr w:rsidR="170A0ABC" w:rsidTr="51CAE236" w14:paraId="0F762DA6">
        <w:trPr>
          <w:trHeight w:val="270"/>
        </w:trPr>
        <w:tc>
          <w:tcPr>
            <w:tcW w:w="228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4B09BF27" w14:textId="68AE2304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Creative Students </w:t>
            </w:r>
          </w:p>
        </w:tc>
        <w:tc>
          <w:tcPr>
            <w:tcW w:w="30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1B6AF2FD" w14:textId="5F1C448A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ind w:left="720" w:right="0" w:hanging="360"/>
              <w:rPr>
                <w:rFonts w:ascii="Arial" w:hAnsi="Arial" w:eastAsia="Arial" w:cs="Arial"/>
                <w:sz w:val="18"/>
                <w:szCs w:val="18"/>
                <w:lang w:val="en-GB"/>
              </w:rPr>
            </w:pPr>
            <w:r w:rsidRPr="170A0ABC" w:rsidR="170A0ABC">
              <w:rPr>
                <w:rFonts w:ascii="Arial" w:hAnsi="Arial" w:eastAsia="Arial" w:cs="Arial"/>
                <w:sz w:val="18"/>
                <w:szCs w:val="18"/>
                <w:lang w:val="en-GB"/>
              </w:rPr>
              <w:t>Brought up the funding of material with the Minister for DFHERIS and will be working on this further</w:t>
            </w:r>
          </w:p>
        </w:tc>
        <w:tc>
          <w:tcPr>
            <w:tcW w:w="34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79646"/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2731B6AA" w14:textId="05D154BD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170A0ABC" w:rsidTr="51CAE236" w14:paraId="5CF005AC">
        <w:trPr>
          <w:trHeight w:val="270"/>
        </w:trPr>
        <w:tc>
          <w:tcPr>
            <w:tcW w:w="228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72430686" w14:textId="5F15CDE7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ESU Events and Projects </w:t>
            </w:r>
          </w:p>
        </w:tc>
        <w:tc>
          <w:tcPr>
            <w:tcW w:w="30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1E581D36" w14:textId="477ED91F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ind w:left="720" w:right="0" w:hanging="360"/>
              <w:rPr>
                <w:rFonts w:ascii="Arial" w:hAnsi="Arial" w:eastAsia="Arial" w:cs="Arial"/>
                <w:sz w:val="18"/>
                <w:szCs w:val="18"/>
                <w:lang w:val="en-GB"/>
              </w:rPr>
            </w:pPr>
            <w:r w:rsidRPr="170A0ABC" w:rsidR="170A0ABC">
              <w:rPr>
                <w:rFonts w:ascii="Arial" w:hAnsi="Arial" w:eastAsia="Arial" w:cs="Arial"/>
                <w:sz w:val="18"/>
                <w:szCs w:val="18"/>
                <w:lang w:val="en-GB"/>
              </w:rPr>
              <w:t>ESU events were cheaper this year allowing for better engagement for smaller unions to join the events.</w:t>
            </w:r>
          </w:p>
          <w:p w:rsidR="170A0ABC" w:rsidP="170A0ABC" w:rsidRDefault="170A0ABC" w14:paraId="114F2C8B" w14:textId="7F3582CC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ind w:left="720" w:right="0" w:hanging="360"/>
              <w:rPr>
                <w:rFonts w:ascii="Arial" w:hAnsi="Arial" w:eastAsia="Arial" w:cs="Arial"/>
                <w:sz w:val="18"/>
                <w:szCs w:val="18"/>
                <w:lang w:val="en-GB"/>
              </w:rPr>
            </w:pPr>
            <w:r w:rsidRPr="170A0ABC" w:rsidR="170A0ABC">
              <w:rPr>
                <w:rFonts w:ascii="Arial" w:hAnsi="Arial" w:eastAsia="Arial" w:cs="Arial"/>
                <w:sz w:val="18"/>
                <w:szCs w:val="18"/>
                <w:lang w:val="en-GB"/>
              </w:rPr>
              <w:t>Working with ESU at conferences and with online meetings</w:t>
            </w:r>
          </w:p>
        </w:tc>
        <w:tc>
          <w:tcPr>
            <w:tcW w:w="34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4EA72E" w:themeFill="accent6"/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112BDA33" w14:textId="751153CB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170A0ABC" w:rsidTr="51CAE236" w14:paraId="7D4A315D">
        <w:trPr>
          <w:trHeight w:val="270"/>
        </w:trPr>
        <w:tc>
          <w:tcPr>
            <w:tcW w:w="228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44CD7072" w14:textId="31D1DF67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MO Engagemen</w:t>
            </w:r>
            <w:r w:rsidRPr="170A0ABC" w:rsidR="170A0ABC">
              <w:rPr>
                <w:rFonts w:ascii="Arial" w:hAnsi="Arial" w:eastAsia="Arial" w:cs="Arial"/>
                <w:sz w:val="22"/>
                <w:szCs w:val="22"/>
              </w:rPr>
              <w:t>t and Collaboration</w:t>
            </w:r>
            <w:r w:rsidRPr="170A0ABC" w:rsidR="170A0AB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30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769766D3" w14:textId="167D8AA7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ind w:left="720" w:right="0" w:hanging="360"/>
              <w:rPr>
                <w:rFonts w:ascii="Arial" w:hAnsi="Arial" w:eastAsia="Arial" w:cs="Arial"/>
                <w:sz w:val="18"/>
                <w:szCs w:val="18"/>
                <w:lang w:val="en-GB"/>
              </w:rPr>
            </w:pPr>
            <w:r w:rsidRPr="170A0ABC" w:rsidR="170A0ABC">
              <w:rPr>
                <w:rFonts w:ascii="Arial" w:hAnsi="Arial" w:eastAsia="Arial" w:cs="Arial"/>
                <w:sz w:val="18"/>
                <w:szCs w:val="18"/>
                <w:lang w:val="en-GB"/>
              </w:rPr>
              <w:t>Constantly liaised with MO’s on work underway and giving opportunities for MO’s to further engage when possible and constant campus visits</w:t>
            </w:r>
          </w:p>
        </w:tc>
        <w:tc>
          <w:tcPr>
            <w:tcW w:w="34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4EA72E" w:themeFill="accent6"/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2F8563C4" w14:textId="31386045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170A0ABC" w:rsidTr="51CAE236" w14:paraId="0D5B335A">
        <w:trPr>
          <w:trHeight w:val="270"/>
        </w:trPr>
        <w:tc>
          <w:tcPr>
            <w:tcW w:w="228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695D3276" w14:textId="71028B16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Policy Development </w:t>
            </w:r>
          </w:p>
        </w:tc>
        <w:tc>
          <w:tcPr>
            <w:tcW w:w="30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3A5C2387" w14:textId="7D16DFA8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ind w:left="720" w:right="0" w:hanging="360"/>
              <w:rPr>
                <w:rFonts w:ascii="Arial" w:hAnsi="Arial" w:eastAsia="Arial" w:cs="Arial"/>
                <w:sz w:val="18"/>
                <w:szCs w:val="18"/>
                <w:lang w:val="en-GB"/>
              </w:rPr>
            </w:pPr>
            <w:r w:rsidRPr="170A0ABC" w:rsidR="170A0ABC">
              <w:rPr>
                <w:rFonts w:ascii="Arial" w:hAnsi="Arial" w:eastAsia="Arial" w:cs="Arial"/>
                <w:sz w:val="18"/>
                <w:szCs w:val="18"/>
                <w:lang w:val="en-GB"/>
              </w:rPr>
              <w:t>When advise on motions or policy advice was required by MO’s during the year to better their local college environment, I was more than happy to give stats and help to push the changes over the line</w:t>
            </w:r>
          </w:p>
        </w:tc>
        <w:tc>
          <w:tcPr>
            <w:tcW w:w="34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79646"/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40D7E7B8" w14:textId="66C17D55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170A0ABC" w:rsidTr="51CAE236" w14:paraId="4560586B">
        <w:trPr>
          <w:trHeight w:val="270"/>
        </w:trPr>
        <w:tc>
          <w:tcPr>
            <w:tcW w:w="228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6140ACD6" w14:textId="070A0ECF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Funding and </w:t>
            </w:r>
            <w:r w:rsidRPr="170A0ABC" w:rsidR="170A0ABC">
              <w:rPr>
                <w:rFonts w:ascii="Arial" w:hAnsi="Arial" w:eastAsia="Arial" w:cs="Arial"/>
                <w:sz w:val="22"/>
                <w:szCs w:val="22"/>
              </w:rPr>
              <w:t>Access</w:t>
            </w:r>
            <w:r w:rsidRPr="170A0ABC" w:rsidR="170A0AB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30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5DA85F9B" w14:textId="0120DE59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ind w:left="720" w:right="0" w:hanging="360"/>
              <w:rPr>
                <w:rFonts w:ascii="Arial" w:hAnsi="Arial" w:eastAsia="Arial" w:cs="Arial"/>
                <w:sz w:val="18"/>
                <w:szCs w:val="18"/>
                <w:lang w:val="en-GB"/>
              </w:rPr>
            </w:pPr>
            <w:r w:rsidRPr="170A0ABC" w:rsidR="170A0ABC">
              <w:rPr>
                <w:rFonts w:ascii="Arial" w:hAnsi="Arial" w:eastAsia="Arial" w:cs="Arial"/>
                <w:sz w:val="18"/>
                <w:szCs w:val="18"/>
                <w:lang w:val="en-GB"/>
              </w:rPr>
              <w:t>Lobbied wherever possible for increase funding for education in Ireland</w:t>
            </w:r>
          </w:p>
        </w:tc>
        <w:tc>
          <w:tcPr>
            <w:tcW w:w="34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4EA72E" w:themeFill="accent6"/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38640752" w14:textId="2D4F312D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170A0ABC" w:rsidTr="51CAE236" w14:paraId="2D13BECA">
        <w:trPr>
          <w:trHeight w:val="270"/>
        </w:trPr>
        <w:tc>
          <w:tcPr>
            <w:tcW w:w="228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4F42FC6D" w14:textId="42D2E0E4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Mergers &amp; Technological Universities (TUs) </w:t>
            </w:r>
          </w:p>
        </w:tc>
        <w:tc>
          <w:tcPr>
            <w:tcW w:w="30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116BD6C4" w14:textId="08C93592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ind w:left="720" w:right="0" w:hanging="360"/>
              <w:rPr>
                <w:rFonts w:ascii="Arial" w:hAnsi="Arial" w:eastAsia="Arial" w:cs="Arial"/>
                <w:sz w:val="18"/>
                <w:szCs w:val="18"/>
                <w:lang w:val="en-GB"/>
              </w:rPr>
            </w:pPr>
            <w:r w:rsidRPr="170A0ABC" w:rsidR="170A0ABC">
              <w:rPr>
                <w:rFonts w:ascii="Arial" w:hAnsi="Arial" w:eastAsia="Arial" w:cs="Arial"/>
                <w:sz w:val="18"/>
                <w:szCs w:val="18"/>
                <w:lang w:val="en-GB"/>
              </w:rPr>
              <w:t>Helped TU’s with advice regarding to merging or being merged and imparted knowledge of how other colleges may have navigated similar problems</w:t>
            </w:r>
          </w:p>
        </w:tc>
        <w:tc>
          <w:tcPr>
            <w:tcW w:w="34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4EA72E" w:themeFill="accent6"/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29214FD9" w14:textId="1D54C6E3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170A0ABC" w:rsidTr="51CAE236" w14:paraId="4677525C">
        <w:trPr>
          <w:trHeight w:val="270"/>
        </w:trPr>
        <w:tc>
          <w:tcPr>
            <w:tcW w:w="228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2BF62DC2" w14:textId="2446863B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Student Involvement in Governance </w:t>
            </w:r>
          </w:p>
        </w:tc>
        <w:tc>
          <w:tcPr>
            <w:tcW w:w="305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4C48B5C3" w14:textId="73F577EA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/>
              <w:ind w:left="720" w:right="0" w:hanging="360"/>
              <w:rPr>
                <w:rFonts w:ascii="Arial" w:hAnsi="Arial" w:eastAsia="Arial" w:cs="Arial"/>
                <w:sz w:val="18"/>
                <w:szCs w:val="18"/>
                <w:lang w:val="en-GB"/>
              </w:rPr>
            </w:pPr>
            <w:r w:rsidRPr="170A0ABC" w:rsidR="170A0ABC">
              <w:rPr>
                <w:rFonts w:ascii="Arial" w:hAnsi="Arial" w:eastAsia="Arial" w:cs="Arial"/>
                <w:sz w:val="18"/>
                <w:szCs w:val="18"/>
                <w:lang w:val="en-GB"/>
              </w:rPr>
              <w:t xml:space="preserve">At every opportunity I have pushed for student involvement with anything that regards students. You can’t make decisions about us, without us </w:t>
            </w:r>
          </w:p>
        </w:tc>
        <w:tc>
          <w:tcPr>
            <w:tcW w:w="34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4EA72E" w:themeFill="accent6"/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71809B50" w14:textId="75B1F859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sz w:val="18"/>
                <w:szCs w:val="18"/>
                <w:lang w:val="en-GB"/>
              </w:rPr>
              <w:t xml:space="preserve"> </w:t>
            </w:r>
          </w:p>
        </w:tc>
      </w:tr>
    </w:tbl>
    <w:p xmlns:wp14="http://schemas.microsoft.com/office/word/2010/wordml" w:rsidP="170A0ABC" wp14:paraId="21ED1673" wp14:textId="402A2566">
      <w:pPr>
        <w:spacing w:before="0" w:beforeAutospacing="off" w:after="0" w:afterAutospacing="off"/>
        <w:ind w:left="5040" w:right="0" w:firstLine="720"/>
      </w:pPr>
      <w:r w:rsidRPr="170A0ABC" w:rsidR="0B369D99">
        <w:rPr>
          <w:rFonts w:ascii="Arial" w:hAnsi="Arial" w:eastAsia="Arial" w:cs="Arial"/>
          <w:i w:val="1"/>
          <w:iCs w:val="1"/>
          <w:noProof w:val="0"/>
          <w:sz w:val="18"/>
          <w:szCs w:val="18"/>
          <w:lang w:val="en-GB"/>
        </w:rPr>
        <w:t xml:space="preserve"> </w:t>
      </w:r>
    </w:p>
    <w:p xmlns:wp14="http://schemas.microsoft.com/office/word/2010/wordml" w:rsidP="170A0ABC" wp14:paraId="660B6E73" wp14:textId="13E9214B">
      <w:pPr>
        <w:pStyle w:val="ListParagraph"/>
        <w:numPr>
          <w:ilvl w:val="0"/>
          <w:numId w:val="26"/>
        </w:numPr>
        <w:spacing w:before="0" w:beforeAutospacing="off" w:after="0" w:afterAutospacing="off"/>
        <w:ind w:left="1080" w:right="0" w:hanging="360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170A0ABC" w:rsidR="0B369D9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Mandate Progress</w:t>
      </w:r>
    </w:p>
    <w:p xmlns:wp14="http://schemas.microsoft.com/office/word/2010/wordml" w:rsidP="170A0ABC" wp14:paraId="73235215" wp14:textId="194FAEFE">
      <w:pPr>
        <w:spacing w:before="0" w:beforeAutospacing="off" w:after="0" w:afterAutospacing="off"/>
      </w:pPr>
      <w:r w:rsidRPr="170A0ABC" w:rsidR="0B369D9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22"/>
        <w:gridCol w:w="2921"/>
        <w:gridCol w:w="2937"/>
      </w:tblGrid>
      <w:tr w:rsidR="170A0ABC" w:rsidTr="170A0ABC" w14:paraId="303A0989">
        <w:trPr>
          <w:trHeight w:val="270"/>
        </w:trPr>
        <w:tc>
          <w:tcPr>
            <w:tcW w:w="29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35F11336" w14:textId="49998D9B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GB"/>
              </w:rPr>
              <w:t>Mandate</w:t>
            </w:r>
          </w:p>
        </w:tc>
        <w:tc>
          <w:tcPr>
            <w:tcW w:w="29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0C2D93EC" w14:textId="2CD53489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GB"/>
              </w:rPr>
              <w:t>Actions Taken</w:t>
            </w:r>
          </w:p>
        </w:tc>
        <w:tc>
          <w:tcPr>
            <w:tcW w:w="29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53D5466B" w14:textId="0F171208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GB"/>
              </w:rPr>
              <w:t>Progress</w:t>
            </w:r>
          </w:p>
        </w:tc>
      </w:tr>
      <w:tr w:rsidR="170A0ABC" w:rsidTr="170A0ABC" w14:paraId="2D0AB552">
        <w:trPr>
          <w:trHeight w:val="270"/>
        </w:trPr>
        <w:tc>
          <w:tcPr>
            <w:tcW w:w="29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30AC6F2B" w14:textId="5415590C">
            <w:pPr>
              <w:spacing w:before="0" w:beforeAutospacing="off" w:after="0" w:afterAutospacing="off"/>
              <w:jc w:val="left"/>
            </w:pPr>
            <w:r w:rsidRPr="170A0ABC" w:rsidR="170A0A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Creative Student Representation</w:t>
            </w:r>
          </w:p>
        </w:tc>
        <w:tc>
          <w:tcPr>
            <w:tcW w:w="29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3CCE76A" w:rsidP="170A0ABC" w:rsidRDefault="63CCE76A" w14:paraId="4E653850" w14:textId="39B8251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170A0ABC" w:rsidR="63CCE7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Subcommittee was set up. Working on material funding to be set up for students</w:t>
            </w:r>
          </w:p>
        </w:tc>
        <w:tc>
          <w:tcPr>
            <w:tcW w:w="29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97132" w:themeFill="accent2"/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16F7B8E1" w14:textId="2C1BCE69">
            <w:pPr>
              <w:pStyle w:val="Normal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GB"/>
              </w:rPr>
            </w:pPr>
          </w:p>
        </w:tc>
      </w:tr>
      <w:tr w:rsidR="170A0ABC" w:rsidTr="170A0ABC" w14:paraId="5622ACC6">
        <w:trPr>
          <w:trHeight w:val="270"/>
        </w:trPr>
        <w:tc>
          <w:tcPr>
            <w:tcW w:w="29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7772A0F5" w14:textId="019FAA86">
            <w:pPr>
              <w:spacing w:before="0" w:beforeAutospacing="off" w:after="0" w:afterAutospacing="off"/>
              <w:jc w:val="left"/>
            </w:pPr>
            <w:r w:rsidRPr="170A0ABC" w:rsidR="170A0A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Academic Integrity</w:t>
            </w:r>
          </w:p>
        </w:tc>
        <w:tc>
          <w:tcPr>
            <w:tcW w:w="29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F09B450" w:rsidP="170A0ABC" w:rsidRDefault="4F09B450" w14:paraId="488AAE72" w14:textId="73796F5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170A0ABC" w:rsidR="4F09B4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 worked</w:t>
            </w:r>
            <w:r w:rsidRPr="170A0ABC" w:rsidR="170A0A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with QQI and NAIN to </w:t>
            </w:r>
            <w:r w:rsidRPr="170A0ABC" w:rsidR="170A0A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represent</w:t>
            </w:r>
            <w:r w:rsidRPr="170A0ABC" w:rsidR="170A0A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the student voice</w:t>
            </w:r>
            <w:r w:rsidRPr="170A0ABC" w:rsidR="37208E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sent graphics out for academic integrity in semester 1. Working with NAIN on how a </w:t>
            </w:r>
            <w:r w:rsidRPr="170A0ABC" w:rsidR="37208E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step by step</w:t>
            </w:r>
            <w:r w:rsidRPr="170A0ABC" w:rsidR="37208E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reporting misconduct could be done with </w:t>
            </w:r>
            <w:r w:rsidRPr="170A0ABC" w:rsidR="37208E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QQI</w:t>
            </w:r>
            <w:r w:rsidRPr="170A0ABC" w:rsidR="37208E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b</w:t>
            </w:r>
            <w:r w:rsidRPr="170A0ABC" w:rsidR="429B27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ut QQI is resistant with direct student contact </w:t>
            </w:r>
          </w:p>
        </w:tc>
        <w:tc>
          <w:tcPr>
            <w:tcW w:w="29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97132" w:themeFill="accent2"/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25FA6F16" w14:textId="03AB5C5E">
            <w:pPr>
              <w:pStyle w:val="Normal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GB"/>
              </w:rPr>
            </w:pPr>
          </w:p>
        </w:tc>
      </w:tr>
      <w:tr w:rsidR="170A0ABC" w:rsidTr="170A0ABC" w14:paraId="57DC48FE">
        <w:trPr>
          <w:trHeight w:val="270"/>
        </w:trPr>
        <w:tc>
          <w:tcPr>
            <w:tcW w:w="29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73590623" w14:textId="6E49B55D">
            <w:pPr>
              <w:spacing w:before="0" w:beforeAutospacing="off" w:after="0" w:afterAutospacing="off"/>
              <w:jc w:val="left"/>
            </w:pPr>
            <w:r w:rsidRPr="170A0ABC" w:rsidR="170A0A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Universal Design</w:t>
            </w:r>
          </w:p>
        </w:tc>
        <w:tc>
          <w:tcPr>
            <w:tcW w:w="29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5D58FA0" w:rsidP="170A0ABC" w:rsidRDefault="45D58FA0" w14:paraId="6E82C805" w14:textId="208B5D59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170A0ABC" w:rsidR="45D58F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Haven't</w:t>
            </w:r>
            <w:r w:rsidRPr="170A0ABC" w:rsidR="45D58F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worked on this, this academic year</w:t>
            </w:r>
          </w:p>
        </w:tc>
        <w:tc>
          <w:tcPr>
            <w:tcW w:w="29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0000"/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5B5D9993" w14:textId="0926AAFA">
            <w:pPr>
              <w:pStyle w:val="Normal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GB"/>
              </w:rPr>
            </w:pPr>
          </w:p>
        </w:tc>
      </w:tr>
      <w:tr w:rsidR="170A0ABC" w:rsidTr="170A0ABC" w14:paraId="2058A28A">
        <w:trPr>
          <w:trHeight w:val="270"/>
        </w:trPr>
        <w:tc>
          <w:tcPr>
            <w:tcW w:w="29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2EC0B4BE" w14:textId="22CB07D1">
            <w:pPr>
              <w:spacing w:before="0" w:beforeAutospacing="off" w:after="0" w:afterAutospacing="off"/>
              <w:jc w:val="left"/>
            </w:pPr>
            <w:r w:rsidRPr="170A0ABC" w:rsidR="170A0A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Placement Campaign</w:t>
            </w:r>
          </w:p>
        </w:tc>
        <w:tc>
          <w:tcPr>
            <w:tcW w:w="29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C658149" w:rsidP="170A0ABC" w:rsidRDefault="6C658149" w14:paraId="1719D8C9" w14:textId="27CA31EA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170A0ABC" w:rsidR="6C6581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Making plans for the survey to be compiled and survey to be ran</w:t>
            </w:r>
          </w:p>
        </w:tc>
        <w:tc>
          <w:tcPr>
            <w:tcW w:w="29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97132" w:themeFill="accent2"/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4F0001AD" w14:textId="59AB4156">
            <w:pPr>
              <w:pStyle w:val="Normal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GB"/>
              </w:rPr>
            </w:pPr>
          </w:p>
        </w:tc>
      </w:tr>
      <w:tr w:rsidR="170A0ABC" w:rsidTr="170A0ABC" w14:paraId="52ED8027">
        <w:trPr>
          <w:trHeight w:val="270"/>
        </w:trPr>
        <w:tc>
          <w:tcPr>
            <w:tcW w:w="29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53C87BE5" w14:textId="63B9674B">
            <w:pPr>
              <w:spacing w:before="0" w:beforeAutospacing="off" w:after="0" w:afterAutospacing="off"/>
              <w:jc w:val="left"/>
            </w:pPr>
            <w:r w:rsidRPr="170A0ABC" w:rsidR="170A0A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Leaving Certificate Results</w:t>
            </w:r>
          </w:p>
        </w:tc>
        <w:tc>
          <w:tcPr>
            <w:tcW w:w="29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2D2BC40" w:rsidP="170A0ABC" w:rsidRDefault="62D2BC40" w14:paraId="62460FAD" w14:textId="384D0B8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170A0ABC" w:rsidR="62D2BC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Look at a more </w:t>
            </w:r>
            <w:r w:rsidRPr="170A0ABC" w:rsidR="65FEEA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efficient</w:t>
            </w:r>
            <w:r w:rsidRPr="170A0ABC" w:rsidR="62D2BC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way to achieve the spirit of this motion as </w:t>
            </w:r>
            <w:r w:rsidRPr="170A0ABC" w:rsidR="449C0E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 current</w:t>
            </w:r>
            <w:r w:rsidRPr="170A0ABC" w:rsidR="62D2BC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format makes it hard to achieve anything from the actions</w:t>
            </w:r>
            <w:r w:rsidRPr="170A0ABC" w:rsidR="2DC09C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 Retention rates is a new direction that HEA is looking in and something I have been feeding into</w:t>
            </w:r>
          </w:p>
        </w:tc>
        <w:tc>
          <w:tcPr>
            <w:tcW w:w="29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97132" w:themeFill="accent2"/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16210773" w14:textId="5A7C0A15">
            <w:pPr>
              <w:pStyle w:val="Normal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GB"/>
              </w:rPr>
            </w:pPr>
          </w:p>
        </w:tc>
      </w:tr>
      <w:tr w:rsidR="170A0ABC" w:rsidTr="170A0ABC" w14:paraId="38E1B257">
        <w:trPr>
          <w:trHeight w:val="270"/>
        </w:trPr>
        <w:tc>
          <w:tcPr>
            <w:tcW w:w="29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38CD76A0" w14:textId="664D4B03">
            <w:pPr>
              <w:spacing w:before="0" w:beforeAutospacing="off" w:after="0" w:afterAutospacing="off"/>
              <w:jc w:val="left"/>
            </w:pPr>
            <w:r w:rsidRPr="170A0ABC" w:rsidR="170A0A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Artificial Intelligence</w:t>
            </w:r>
          </w:p>
        </w:tc>
        <w:tc>
          <w:tcPr>
            <w:tcW w:w="29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1707114" w:rsidP="170A0ABC" w:rsidRDefault="21707114" w14:paraId="6FC68BF6" w14:textId="158E54C1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170A0ABC" w:rsidR="217071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Trying to work with QQI and NAIN with </w:t>
            </w:r>
            <w:r w:rsidRPr="170A0ABC" w:rsidR="217071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incorporating</w:t>
            </w:r>
            <w:r w:rsidRPr="170A0ABC" w:rsidR="217071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AI into teaching, learning and assessment due to disagreements with its level it should be involved</w:t>
            </w:r>
          </w:p>
        </w:tc>
        <w:tc>
          <w:tcPr>
            <w:tcW w:w="29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97132" w:themeFill="accent2"/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216C9A14" w14:textId="75258D8D">
            <w:pPr>
              <w:pStyle w:val="Normal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GB"/>
              </w:rPr>
            </w:pPr>
          </w:p>
        </w:tc>
      </w:tr>
      <w:tr w:rsidR="170A0ABC" w:rsidTr="170A0ABC" w14:paraId="784C43B7">
        <w:trPr>
          <w:trHeight w:val="270"/>
        </w:trPr>
        <w:tc>
          <w:tcPr>
            <w:tcW w:w="29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0843A40C" w14:textId="1213858B">
            <w:pPr>
              <w:spacing w:before="0" w:beforeAutospacing="off" w:after="0" w:afterAutospacing="off"/>
            </w:pPr>
            <w:r w:rsidRPr="170A0ABC" w:rsidR="170A0A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Exceptional and Extenuating Circumstances</w:t>
            </w:r>
          </w:p>
        </w:tc>
        <w:tc>
          <w:tcPr>
            <w:tcW w:w="29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7EB0757" w:rsidP="170A0ABC" w:rsidRDefault="57EB0757" w14:paraId="645E7B0E" w14:textId="58F48BC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170A0ABC" w:rsidR="57EB07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Intention to begin over the coming weeks</w:t>
            </w:r>
          </w:p>
        </w:tc>
        <w:tc>
          <w:tcPr>
            <w:tcW w:w="29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0000"/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24019872" w14:textId="3D88E781">
            <w:pPr>
              <w:pStyle w:val="Normal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GB"/>
              </w:rPr>
            </w:pPr>
          </w:p>
        </w:tc>
      </w:tr>
      <w:tr w:rsidR="170A0ABC" w:rsidTr="170A0ABC" w14:paraId="6D408A2A">
        <w:trPr>
          <w:trHeight w:val="270"/>
        </w:trPr>
        <w:tc>
          <w:tcPr>
            <w:tcW w:w="29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4FF7B2B3" w14:textId="105043C4">
            <w:pPr>
              <w:spacing w:before="0" w:beforeAutospacing="off" w:after="0" w:afterAutospacing="off"/>
              <w:jc w:val="left"/>
            </w:pPr>
            <w:r w:rsidRPr="170A0ABC" w:rsidR="170A0A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College Awareness Week</w:t>
            </w:r>
          </w:p>
        </w:tc>
        <w:tc>
          <w:tcPr>
            <w:tcW w:w="29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5E903B4" w:rsidP="170A0ABC" w:rsidRDefault="65E903B4" w14:paraId="1FE76B50" w14:textId="2B18CF7B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170A0ABC" w:rsidR="65E903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Week was </w:t>
            </w:r>
            <w:r w:rsidRPr="170A0ABC" w:rsidR="65E903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promoted</w:t>
            </w:r>
            <w:r w:rsidRPr="170A0ABC" w:rsidR="65E903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and supported</w:t>
            </w:r>
          </w:p>
        </w:tc>
        <w:tc>
          <w:tcPr>
            <w:tcW w:w="29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4EA72E" w:themeFill="accent6"/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79A8FE2C" w14:textId="34F2B30F">
            <w:pPr>
              <w:pStyle w:val="Normal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GB"/>
              </w:rPr>
            </w:pPr>
          </w:p>
        </w:tc>
      </w:tr>
      <w:tr w:rsidR="170A0ABC" w:rsidTr="170A0ABC" w14:paraId="1556CBAE">
        <w:trPr>
          <w:trHeight w:val="270"/>
        </w:trPr>
        <w:tc>
          <w:tcPr>
            <w:tcW w:w="29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7D782FBE" w14:textId="1BDF3788">
            <w:pPr>
              <w:spacing w:before="0" w:beforeAutospacing="off" w:after="0" w:afterAutospacing="off"/>
            </w:pPr>
            <w:r w:rsidRPr="170A0ABC" w:rsidR="170A0A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StudentSurvey.ie</w:t>
            </w:r>
          </w:p>
        </w:tc>
        <w:tc>
          <w:tcPr>
            <w:tcW w:w="29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85EB4E4" w:rsidP="170A0ABC" w:rsidRDefault="785EB4E4" w14:paraId="59521779" w14:textId="7AE229F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170A0ABC" w:rsidR="785EB4E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Student survey currently under review</w:t>
            </w:r>
          </w:p>
        </w:tc>
        <w:tc>
          <w:tcPr>
            <w:tcW w:w="29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4EA72E" w:themeFill="accent6"/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780EF4F6" w14:textId="7140E65F">
            <w:pPr>
              <w:pStyle w:val="Normal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GB"/>
              </w:rPr>
            </w:pPr>
          </w:p>
        </w:tc>
      </w:tr>
      <w:tr w:rsidR="170A0ABC" w:rsidTr="170A0ABC" w14:paraId="072BB4C5">
        <w:trPr>
          <w:trHeight w:val="270"/>
        </w:trPr>
        <w:tc>
          <w:tcPr>
            <w:tcW w:w="29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05C1487E" w14:textId="0A121A32">
            <w:pPr>
              <w:spacing w:before="0" w:beforeAutospacing="off" w:after="0" w:afterAutospacing="off"/>
            </w:pPr>
            <w:r w:rsidRPr="170A0ABC" w:rsidR="170A0A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Connecting Creative Arts Students</w:t>
            </w:r>
          </w:p>
        </w:tc>
        <w:tc>
          <w:tcPr>
            <w:tcW w:w="29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7E2174A" w:rsidP="170A0ABC" w:rsidRDefault="07E2174A" w14:paraId="3F86B349" w14:textId="1B7552C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170A0ABC" w:rsidR="07E217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Time to </w:t>
            </w:r>
            <w:r w:rsidRPr="170A0ABC" w:rsidR="07E217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organise</w:t>
            </w:r>
            <w:r w:rsidRPr="170A0ABC" w:rsidR="07E217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170A0ABC" w:rsidR="07E217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wasn’t</w:t>
            </w:r>
            <w:r w:rsidRPr="170A0ABC" w:rsidR="07E217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there for this year</w:t>
            </w:r>
          </w:p>
        </w:tc>
        <w:tc>
          <w:tcPr>
            <w:tcW w:w="29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0000"/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65E1CBB1" w14:textId="06DD68B2">
            <w:pPr>
              <w:pStyle w:val="Normal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GB"/>
              </w:rPr>
            </w:pPr>
          </w:p>
        </w:tc>
      </w:tr>
      <w:tr w:rsidR="170A0ABC" w:rsidTr="170A0ABC" w14:paraId="44A864CF">
        <w:trPr>
          <w:trHeight w:val="270"/>
        </w:trPr>
        <w:tc>
          <w:tcPr>
            <w:tcW w:w="29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02FD47CC" w14:textId="2386863F">
            <w:pPr>
              <w:spacing w:before="0" w:beforeAutospacing="off" w:after="0" w:afterAutospacing="off"/>
            </w:pPr>
            <w:r w:rsidRPr="170A0ABC" w:rsidR="170A0A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Examination Best Practice</w:t>
            </w:r>
          </w:p>
        </w:tc>
        <w:tc>
          <w:tcPr>
            <w:tcW w:w="29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DC47B8C" w:rsidP="170A0ABC" w:rsidRDefault="0DC47B8C" w14:paraId="54E6726D" w14:textId="0A729A1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170A0ABC" w:rsidR="0DC47B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Work constantly being pushed for rethinking assessment in Higher Education</w:t>
            </w:r>
          </w:p>
        </w:tc>
        <w:tc>
          <w:tcPr>
            <w:tcW w:w="29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97132" w:themeFill="accent2"/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19B6A9BD" w14:textId="54C88C45">
            <w:pPr>
              <w:pStyle w:val="Normal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GB"/>
              </w:rPr>
            </w:pPr>
          </w:p>
        </w:tc>
      </w:tr>
      <w:tr w:rsidR="170A0ABC" w:rsidTr="170A0ABC" w14:paraId="0E06B858">
        <w:trPr>
          <w:trHeight w:val="270"/>
        </w:trPr>
        <w:tc>
          <w:tcPr>
            <w:tcW w:w="29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5A675FE4" w14:textId="0DD55C9C">
            <w:pPr>
              <w:spacing w:before="0" w:beforeAutospacing="off" w:after="0" w:afterAutospacing="off"/>
            </w:pPr>
            <w:r w:rsidRPr="170A0ABC" w:rsidR="170A0A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Subsidies on Textbooks</w:t>
            </w:r>
          </w:p>
        </w:tc>
        <w:tc>
          <w:tcPr>
            <w:tcW w:w="29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1686F39E" w14:textId="42AFA4A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170A0ABC" w:rsidR="170A0A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Lobb</w:t>
            </w:r>
            <w:r w:rsidRPr="170A0ABC" w:rsidR="69EABF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ing was done with</w:t>
            </w:r>
            <w:r w:rsidRPr="170A0ABC" w:rsidR="170A0A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the DFHERIS to secure subsidies </w:t>
            </w:r>
            <w:r w:rsidRPr="170A0ABC" w:rsidR="11A6E0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on </w:t>
            </w:r>
            <w:r w:rsidRPr="170A0ABC" w:rsidR="11A6E0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textbooks</w:t>
            </w:r>
          </w:p>
        </w:tc>
        <w:tc>
          <w:tcPr>
            <w:tcW w:w="29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97132" w:themeFill="accent2"/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7D3148F8" w14:textId="23439EE7">
            <w:pPr>
              <w:pStyle w:val="Normal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GB"/>
              </w:rPr>
            </w:pPr>
          </w:p>
        </w:tc>
      </w:tr>
      <w:tr w:rsidR="170A0ABC" w:rsidTr="170A0ABC" w14:paraId="1866A044">
        <w:trPr>
          <w:trHeight w:val="270"/>
        </w:trPr>
        <w:tc>
          <w:tcPr>
            <w:tcW w:w="29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57B0F6F7" w14:textId="38FDC71C">
            <w:pPr>
              <w:spacing w:before="0" w:beforeAutospacing="off" w:after="0" w:afterAutospacing="off"/>
            </w:pPr>
            <w:r w:rsidRPr="170A0ABC" w:rsidR="170A0A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Learning in a Digital World</w:t>
            </w:r>
          </w:p>
        </w:tc>
        <w:tc>
          <w:tcPr>
            <w:tcW w:w="29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384291B" w:rsidP="170A0ABC" w:rsidRDefault="6384291B" w14:paraId="7C6F818D" w14:textId="64D79D1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170A0ABC" w:rsidR="638429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Work is being done to push for SUSI to being extended to online students</w:t>
            </w:r>
          </w:p>
        </w:tc>
        <w:tc>
          <w:tcPr>
            <w:tcW w:w="29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97132" w:themeFill="accent2"/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04C0D19C" w14:textId="329C75E7">
            <w:pPr>
              <w:pStyle w:val="Normal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GB"/>
              </w:rPr>
            </w:pPr>
          </w:p>
        </w:tc>
      </w:tr>
      <w:tr w:rsidR="170A0ABC" w:rsidTr="170A0ABC" w14:paraId="25C88AE2">
        <w:trPr>
          <w:trHeight w:val="270"/>
        </w:trPr>
        <w:tc>
          <w:tcPr>
            <w:tcW w:w="29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3F9C6249" w14:textId="5A95A003">
            <w:pPr>
              <w:spacing w:before="0" w:beforeAutospacing="off" w:after="0" w:afterAutospacing="off"/>
            </w:pPr>
            <w:r w:rsidRPr="170A0ABC" w:rsidR="170A0A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Career Guidance Review</w:t>
            </w:r>
          </w:p>
        </w:tc>
        <w:tc>
          <w:tcPr>
            <w:tcW w:w="29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BF367B5" w:rsidP="170A0ABC" w:rsidRDefault="4BF367B5" w14:paraId="21CF5B52" w14:textId="4370AF6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170A0ABC" w:rsidR="4BF367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Qualifax</w:t>
            </w:r>
            <w:r w:rsidRPr="170A0ABC" w:rsidR="4BF367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170A0ABC" w:rsidR="15E013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has been</w:t>
            </w:r>
            <w:r w:rsidRPr="170A0ABC" w:rsidR="4BF367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looked at to being reformed/ given a relook</w:t>
            </w:r>
          </w:p>
        </w:tc>
        <w:tc>
          <w:tcPr>
            <w:tcW w:w="29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97132" w:themeFill="accent2"/>
            <w:tcMar>
              <w:left w:w="108" w:type="dxa"/>
              <w:right w:w="108" w:type="dxa"/>
            </w:tcMar>
            <w:vAlign w:val="top"/>
          </w:tcPr>
          <w:p w:rsidR="170A0ABC" w:rsidP="170A0ABC" w:rsidRDefault="170A0ABC" w14:paraId="507313D2" w14:textId="36B115FD">
            <w:pPr>
              <w:pStyle w:val="Normal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GB"/>
              </w:rPr>
            </w:pPr>
          </w:p>
        </w:tc>
      </w:tr>
    </w:tbl>
    <w:p xmlns:wp14="http://schemas.microsoft.com/office/word/2010/wordml" w:rsidP="170A0ABC" wp14:paraId="255DB9B4" wp14:textId="5FE2EE3B">
      <w:pPr>
        <w:spacing w:before="0" w:beforeAutospacing="off" w:after="0" w:afterAutospacing="off"/>
      </w:pPr>
      <w:r w:rsidRPr="170A0ABC" w:rsidR="0B369D9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</w:t>
      </w:r>
    </w:p>
    <w:p xmlns:wp14="http://schemas.microsoft.com/office/word/2010/wordml" w:rsidP="170A0ABC" wp14:paraId="0382EDD2" wp14:textId="5B1CFE1D">
      <w:pPr>
        <w:pStyle w:val="ListParagraph"/>
        <w:numPr>
          <w:ilvl w:val="0"/>
          <w:numId w:val="26"/>
        </w:numPr>
        <w:spacing w:before="0" w:beforeAutospacing="off" w:after="0" w:afterAutospacing="off"/>
        <w:ind w:left="1080" w:right="0" w:hanging="360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170A0ABC" w:rsidR="0B369D9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Expenses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266"/>
        <w:gridCol w:w="1661"/>
      </w:tblGrid>
      <w:tr w:rsidR="170A0ABC" w:rsidTr="170A0ABC" w14:paraId="128234E3">
        <w:trPr>
          <w:trHeight w:val="300"/>
        </w:trPr>
        <w:tc>
          <w:tcPr>
            <w:tcW w:w="254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4C2523B8" w14:textId="3F1D8930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GB"/>
              </w:rPr>
              <w:t>Item</w:t>
            </w:r>
            <w:r w:rsidRPr="170A0ABC" w:rsidR="170A0ABC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  <w:tc>
          <w:tcPr>
            <w:tcW w:w="426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6BA0A2F8" w14:textId="6F37690A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GB"/>
              </w:rPr>
              <w:t>Description</w:t>
            </w:r>
            <w:r w:rsidRPr="170A0ABC" w:rsidR="170A0ABC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59423972" w14:textId="3A6CF280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n-GB"/>
              </w:rPr>
              <w:t>Amount</w:t>
            </w:r>
            <w:r w:rsidRPr="170A0ABC" w:rsidR="170A0ABC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</w:tr>
      <w:tr w:rsidR="170A0ABC" w:rsidTr="170A0ABC" w14:paraId="3EEFAFEF">
        <w:trPr>
          <w:trHeight w:val="315"/>
        </w:trPr>
        <w:tc>
          <w:tcPr>
            <w:tcW w:w="254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587FFBA6" w14:textId="3CD4BDE5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sz w:val="22"/>
                <w:szCs w:val="22"/>
                <w:lang w:val="en-GB"/>
              </w:rPr>
              <w:t>Public Transport</w:t>
            </w:r>
            <w:r w:rsidRPr="170A0ABC" w:rsidR="170A0ABC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  <w:tc>
          <w:tcPr>
            <w:tcW w:w="426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4B815672" w14:textId="57BDC0B4">
            <w:pPr>
              <w:spacing w:before="0" w:beforeAutospacing="off" w:after="0" w:afterAutospacing="off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RDefault="170A0ABC" w14:paraId="07F14B86" w14:textId="09F161CC"/>
        </w:tc>
      </w:tr>
      <w:tr w:rsidR="170A0ABC" w:rsidTr="170A0ABC" w14:paraId="7AF25FAD">
        <w:trPr>
          <w:trHeight w:val="300"/>
        </w:trPr>
        <w:tc>
          <w:tcPr>
            <w:tcW w:w="254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03458D53" w14:textId="43E8B3AE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sz w:val="22"/>
                <w:szCs w:val="22"/>
                <w:lang w:val="en-GB"/>
              </w:rPr>
              <w:t>Meals</w:t>
            </w:r>
            <w:r w:rsidRPr="170A0ABC" w:rsidR="170A0ABC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  <w:tc>
          <w:tcPr>
            <w:tcW w:w="426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7830EF94" w14:textId="462B8797">
            <w:pPr>
              <w:spacing w:before="0" w:beforeAutospacing="off" w:after="0" w:afterAutospacing="off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RDefault="170A0ABC" w14:paraId="619FE5C6" w14:textId="79768B33"/>
        </w:tc>
      </w:tr>
      <w:tr w:rsidR="170A0ABC" w:rsidTr="170A0ABC" w14:paraId="47711E07">
        <w:trPr>
          <w:trHeight w:val="300"/>
        </w:trPr>
        <w:tc>
          <w:tcPr>
            <w:tcW w:w="254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55CD8BDB" w14:textId="71F87C00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sz w:val="22"/>
                <w:szCs w:val="22"/>
                <w:lang w:val="en-GB"/>
              </w:rPr>
              <w:t>Overnights + Working Outside of Ireland</w:t>
            </w:r>
            <w:r w:rsidRPr="170A0ABC" w:rsidR="170A0ABC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  <w:tc>
          <w:tcPr>
            <w:tcW w:w="426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6EF5F25E" w14:textId="1059A204">
            <w:pPr>
              <w:spacing w:before="0" w:beforeAutospacing="off" w:after="0" w:afterAutospacing="off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RDefault="170A0ABC" w14:paraId="7FCD8627" w14:textId="3CE5A53A"/>
        </w:tc>
      </w:tr>
      <w:tr w:rsidR="170A0ABC" w:rsidTr="170A0ABC" w14:paraId="74299C93">
        <w:trPr>
          <w:trHeight w:val="300"/>
        </w:trPr>
        <w:tc>
          <w:tcPr>
            <w:tcW w:w="254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7B7794FD" w14:textId="25E49562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sz w:val="22"/>
                <w:szCs w:val="22"/>
                <w:lang w:val="en-GB"/>
              </w:rPr>
              <w:t>Other</w:t>
            </w:r>
            <w:r w:rsidRPr="170A0ABC" w:rsidR="170A0ABC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  <w:tc>
          <w:tcPr>
            <w:tcW w:w="426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76411F38" w14:textId="6E77D430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5A1EF658" w14:textId="08B5DDCA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</w:tr>
      <w:tr w:rsidR="170A0ABC" w:rsidTr="170A0ABC" w14:paraId="2FBDCE3A">
        <w:trPr>
          <w:trHeight w:val="300"/>
        </w:trPr>
        <w:tc>
          <w:tcPr>
            <w:tcW w:w="254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08DCF6B3" w14:textId="56452BAB">
            <w:pPr>
              <w:spacing w:before="0" w:beforeAutospacing="off" w:after="0" w:afterAutospacing="off"/>
            </w:pPr>
            <w:r w:rsidRPr="170A0ABC" w:rsidR="170A0ABC">
              <w:rPr>
                <w:rFonts w:ascii="Arial" w:hAnsi="Arial" w:eastAsia="Arial" w:cs="Arial"/>
                <w:sz w:val="22"/>
                <w:szCs w:val="22"/>
                <w:lang w:val="en-GB"/>
              </w:rPr>
              <w:t>Total</w:t>
            </w:r>
            <w:r w:rsidRPr="170A0ABC" w:rsidR="170A0ABC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  <w:tc>
          <w:tcPr>
            <w:tcW w:w="426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P="170A0ABC" w:rsidRDefault="170A0ABC" w14:paraId="0DAE92D2" w14:textId="7621C1F6">
            <w:pPr>
              <w:spacing w:before="0" w:beforeAutospacing="off" w:after="0" w:afterAutospacing="off"/>
              <w:rPr>
                <w:rFonts w:ascii="Arial" w:hAnsi="Arial" w:eastAsia="Arial" w:cs="Arial"/>
                <w:sz w:val="22"/>
                <w:szCs w:val="22"/>
              </w:rPr>
            </w:pPr>
            <w:r w:rsidRPr="170A0ABC" w:rsidR="170A0ABC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170A0ABC" w:rsidR="76329D12">
              <w:rPr>
                <w:rFonts w:ascii="Arial" w:hAnsi="Arial" w:eastAsia="Arial" w:cs="Arial"/>
                <w:sz w:val="22"/>
                <w:szCs w:val="22"/>
              </w:rPr>
              <w:t>None claimed this cycle</w:t>
            </w:r>
          </w:p>
        </w:tc>
        <w:tc>
          <w:tcPr>
            <w:tcW w:w="166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70A0ABC" w:rsidRDefault="170A0ABC" w14:paraId="742614D1" w14:textId="2D7F06B0"/>
        </w:tc>
      </w:tr>
    </w:tbl>
    <w:p xmlns:wp14="http://schemas.microsoft.com/office/word/2010/wordml" w:rsidP="170A0ABC" wp14:paraId="77C6D8F1" wp14:textId="6A7AEC90">
      <w:pPr>
        <w:spacing w:before="56" w:beforeAutospacing="off" w:after="0" w:afterAutospacing="off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</w:p>
    <w:p xmlns:wp14="http://schemas.microsoft.com/office/word/2010/wordml" w:rsidP="170A0ABC" wp14:paraId="2C078E63" wp14:textId="2AD7FCA9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8">
    <w:nsid w:val="607a1e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8d2d81d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6a57e464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2a7fa7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d6cab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04398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1c45d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80a54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72502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3172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c9bf4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6621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38a57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1956c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16815c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93c47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ba0b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c7887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6e51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9ec5b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5a2b4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8ec484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8ea674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f44ff5d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5c8c7132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bf2f312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e12e28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c49a2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F6DB2B"/>
    <w:rsid w:val="00275B03"/>
    <w:rsid w:val="008D1312"/>
    <w:rsid w:val="01C32B64"/>
    <w:rsid w:val="01C32B64"/>
    <w:rsid w:val="0280334A"/>
    <w:rsid w:val="0280334A"/>
    <w:rsid w:val="02DEB642"/>
    <w:rsid w:val="036C08B7"/>
    <w:rsid w:val="043D73D9"/>
    <w:rsid w:val="04C41119"/>
    <w:rsid w:val="04FACC26"/>
    <w:rsid w:val="054AD7C9"/>
    <w:rsid w:val="0553FDDC"/>
    <w:rsid w:val="0553FDDC"/>
    <w:rsid w:val="0602C6B1"/>
    <w:rsid w:val="07E2174A"/>
    <w:rsid w:val="081F47E0"/>
    <w:rsid w:val="09CE3D49"/>
    <w:rsid w:val="0A5CD914"/>
    <w:rsid w:val="0B369D99"/>
    <w:rsid w:val="0B6A0DAA"/>
    <w:rsid w:val="0C7D1F1D"/>
    <w:rsid w:val="0CDAF0B9"/>
    <w:rsid w:val="0DC47B8C"/>
    <w:rsid w:val="0DD84AB6"/>
    <w:rsid w:val="0E39AA57"/>
    <w:rsid w:val="0E921158"/>
    <w:rsid w:val="0EE511C4"/>
    <w:rsid w:val="0EE511C4"/>
    <w:rsid w:val="0EF1BA0F"/>
    <w:rsid w:val="0F458DF5"/>
    <w:rsid w:val="11A29421"/>
    <w:rsid w:val="11A6E05E"/>
    <w:rsid w:val="11E13CB4"/>
    <w:rsid w:val="13CB25C5"/>
    <w:rsid w:val="1418FF18"/>
    <w:rsid w:val="1418FF18"/>
    <w:rsid w:val="1464032C"/>
    <w:rsid w:val="15E013A7"/>
    <w:rsid w:val="1661CA05"/>
    <w:rsid w:val="16F4B730"/>
    <w:rsid w:val="16F516B7"/>
    <w:rsid w:val="16FCCBF4"/>
    <w:rsid w:val="16FCCBF4"/>
    <w:rsid w:val="170A0ABC"/>
    <w:rsid w:val="17509FDA"/>
    <w:rsid w:val="179031D1"/>
    <w:rsid w:val="18A2069A"/>
    <w:rsid w:val="1917FFA2"/>
    <w:rsid w:val="1A1186CE"/>
    <w:rsid w:val="1AACF784"/>
    <w:rsid w:val="1AB515B8"/>
    <w:rsid w:val="1AD40A15"/>
    <w:rsid w:val="1B07D977"/>
    <w:rsid w:val="1B5AC1D3"/>
    <w:rsid w:val="1B881EFA"/>
    <w:rsid w:val="1BAD572F"/>
    <w:rsid w:val="1DCB3E56"/>
    <w:rsid w:val="1E3700CE"/>
    <w:rsid w:val="1E3700CE"/>
    <w:rsid w:val="1EEEB57C"/>
    <w:rsid w:val="1F5BB1BF"/>
    <w:rsid w:val="206083C2"/>
    <w:rsid w:val="2110AA7D"/>
    <w:rsid w:val="21707114"/>
    <w:rsid w:val="22320D02"/>
    <w:rsid w:val="22D71A80"/>
    <w:rsid w:val="23C2269F"/>
    <w:rsid w:val="23D5C3B8"/>
    <w:rsid w:val="264511A8"/>
    <w:rsid w:val="26B05418"/>
    <w:rsid w:val="27A4FBFD"/>
    <w:rsid w:val="28102729"/>
    <w:rsid w:val="2940CC5E"/>
    <w:rsid w:val="2967B6A3"/>
    <w:rsid w:val="29DC82BD"/>
    <w:rsid w:val="2A1B0DE0"/>
    <w:rsid w:val="2A7D1DA8"/>
    <w:rsid w:val="2A7D1DA8"/>
    <w:rsid w:val="2ADC9CBF"/>
    <w:rsid w:val="2ADC9CBF"/>
    <w:rsid w:val="2B0C02B9"/>
    <w:rsid w:val="2D39D524"/>
    <w:rsid w:val="2DC09C18"/>
    <w:rsid w:val="2DF28B6B"/>
    <w:rsid w:val="2DF6DB2B"/>
    <w:rsid w:val="2E76BD8D"/>
    <w:rsid w:val="2F71D589"/>
    <w:rsid w:val="2FDF73DC"/>
    <w:rsid w:val="314C4E7D"/>
    <w:rsid w:val="318C57D6"/>
    <w:rsid w:val="318C57D6"/>
    <w:rsid w:val="31E84080"/>
    <w:rsid w:val="320CF768"/>
    <w:rsid w:val="324EB0FE"/>
    <w:rsid w:val="3267D95B"/>
    <w:rsid w:val="3267D95B"/>
    <w:rsid w:val="33282837"/>
    <w:rsid w:val="33303CFB"/>
    <w:rsid w:val="33F413FC"/>
    <w:rsid w:val="344546AC"/>
    <w:rsid w:val="344546AC"/>
    <w:rsid w:val="34AE5075"/>
    <w:rsid w:val="3524497D"/>
    <w:rsid w:val="358651C0"/>
    <w:rsid w:val="37208E13"/>
    <w:rsid w:val="37222221"/>
    <w:rsid w:val="37222221"/>
    <w:rsid w:val="383DBF38"/>
    <w:rsid w:val="38BDF282"/>
    <w:rsid w:val="38CEA174"/>
    <w:rsid w:val="399AC3BA"/>
    <w:rsid w:val="39FB3FEB"/>
    <w:rsid w:val="3ACED2C3"/>
    <w:rsid w:val="3B333A1C"/>
    <w:rsid w:val="3C05C99E"/>
    <w:rsid w:val="3C3C509B"/>
    <w:rsid w:val="3CCF0A7D"/>
    <w:rsid w:val="3E41157E"/>
    <w:rsid w:val="3EC6C388"/>
    <w:rsid w:val="406A816F"/>
    <w:rsid w:val="41AA6926"/>
    <w:rsid w:val="429B27E1"/>
    <w:rsid w:val="433525EE"/>
    <w:rsid w:val="433525EE"/>
    <w:rsid w:val="43BC8822"/>
    <w:rsid w:val="449C0E30"/>
    <w:rsid w:val="45D13954"/>
    <w:rsid w:val="45D58FA0"/>
    <w:rsid w:val="45F47C8D"/>
    <w:rsid w:val="46569ECF"/>
    <w:rsid w:val="48DC03D2"/>
    <w:rsid w:val="4A0AC7E4"/>
    <w:rsid w:val="4B514B6C"/>
    <w:rsid w:val="4BF367B5"/>
    <w:rsid w:val="4E88EC2E"/>
    <w:rsid w:val="4F09B450"/>
    <w:rsid w:val="4F1B8FE5"/>
    <w:rsid w:val="4F1B8FE5"/>
    <w:rsid w:val="4FF816F0"/>
    <w:rsid w:val="5059A69C"/>
    <w:rsid w:val="51CAE236"/>
    <w:rsid w:val="521C759A"/>
    <w:rsid w:val="52507999"/>
    <w:rsid w:val="536E6F75"/>
    <w:rsid w:val="53968B04"/>
    <w:rsid w:val="5502127B"/>
    <w:rsid w:val="564CC0A1"/>
    <w:rsid w:val="57CA8153"/>
    <w:rsid w:val="57EB0757"/>
    <w:rsid w:val="58EB4C9F"/>
    <w:rsid w:val="59FD2168"/>
    <w:rsid w:val="5BA5AE5F"/>
    <w:rsid w:val="5BC357E0"/>
    <w:rsid w:val="5BC357E0"/>
    <w:rsid w:val="5DD5B94F"/>
    <w:rsid w:val="5EFAF8A2"/>
    <w:rsid w:val="5F20089E"/>
    <w:rsid w:val="5F6896F5"/>
    <w:rsid w:val="621AD18A"/>
    <w:rsid w:val="62A037B7"/>
    <w:rsid w:val="62A037B7"/>
    <w:rsid w:val="62B14B50"/>
    <w:rsid w:val="62D2BC40"/>
    <w:rsid w:val="6384291B"/>
    <w:rsid w:val="639390A5"/>
    <w:rsid w:val="63CCE76A"/>
    <w:rsid w:val="64324A8D"/>
    <w:rsid w:val="6433F354"/>
    <w:rsid w:val="6433F354"/>
    <w:rsid w:val="65E8EC12"/>
    <w:rsid w:val="65E8EC12"/>
    <w:rsid w:val="65E903B4"/>
    <w:rsid w:val="65FEEAE5"/>
    <w:rsid w:val="66B50C5A"/>
    <w:rsid w:val="6773A8DA"/>
    <w:rsid w:val="6847159B"/>
    <w:rsid w:val="68E0837B"/>
    <w:rsid w:val="697C757E"/>
    <w:rsid w:val="69EABF7F"/>
    <w:rsid w:val="6AB8554B"/>
    <w:rsid w:val="6C217794"/>
    <w:rsid w:val="6C658149"/>
    <w:rsid w:val="6C9AEDE3"/>
    <w:rsid w:val="6C9AEDE3"/>
    <w:rsid w:val="6D12CC78"/>
    <w:rsid w:val="6DF3FDF7"/>
    <w:rsid w:val="6F659262"/>
    <w:rsid w:val="6F6AF9E3"/>
    <w:rsid w:val="6FEBB702"/>
    <w:rsid w:val="70F7A538"/>
    <w:rsid w:val="70F7A538"/>
    <w:rsid w:val="71713304"/>
    <w:rsid w:val="72972888"/>
    <w:rsid w:val="730A2F67"/>
    <w:rsid w:val="730A2F67"/>
    <w:rsid w:val="7390F617"/>
    <w:rsid w:val="753E4395"/>
    <w:rsid w:val="75E08AAA"/>
    <w:rsid w:val="75E08AAA"/>
    <w:rsid w:val="76329D12"/>
    <w:rsid w:val="770351F0"/>
    <w:rsid w:val="785EB4E4"/>
    <w:rsid w:val="7887C5E4"/>
    <w:rsid w:val="78C3E8FC"/>
    <w:rsid w:val="797970EB"/>
    <w:rsid w:val="797970EB"/>
    <w:rsid w:val="79929948"/>
    <w:rsid w:val="7E8B8AA1"/>
    <w:rsid w:val="7EC9D840"/>
    <w:rsid w:val="7ED1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6DB2B"/>
  <w15:chartTrackingRefBased/>
  <w15:docId w15:val="{2840B705-4213-4CE9-926C-924E14DA78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3de33ac5dd243ff" /><Relationship Type="http://schemas.openxmlformats.org/officeDocument/2006/relationships/numbering" Target="numbering.xml" Id="R884a2339f86b4f9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2024-05-07T11:49:45.4503793Z</dcterms:created>
  <dcterms:modified xsi:type="dcterms:W3CDTF">2024-05-08T08:46:32.3967775Z</dcterms:modified>
  <dc:creator>Bryan O'Mahony</dc:creator>
  <lastModifiedBy>Bryan O'Mahony</lastModifiedBy>
</coreProperties>
</file>